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8071B">
      <w:pPr>
        <w:adjustRightInd w:val="0"/>
        <w:snapToGrid w:val="0"/>
        <w:ind w:left="480" w:firstLine="0" w:firstLineChars="0"/>
        <w:rPr>
          <w:lang w:eastAsia="zh-CN"/>
        </w:rPr>
      </w:pPr>
      <w:bookmarkStart w:id="0" w:name="_Hlk515176001"/>
    </w:p>
    <w:p w14:paraId="4F0E3A81">
      <w:pPr>
        <w:adjustRightInd w:val="0"/>
        <w:snapToGrid w:val="0"/>
        <w:ind w:left="480" w:firstLine="0" w:firstLineChars="0"/>
        <w:rPr>
          <w:lang w:eastAsia="zh-CN"/>
        </w:rPr>
      </w:pPr>
    </w:p>
    <w:p w14:paraId="1A251ABA">
      <w:pPr>
        <w:adjustRightInd w:val="0"/>
        <w:snapToGrid w:val="0"/>
        <w:ind w:left="480" w:firstLine="0" w:firstLineChars="0"/>
        <w:rPr>
          <w:lang w:eastAsia="zh-CN"/>
        </w:rPr>
      </w:pPr>
    </w:p>
    <w:p w14:paraId="7484A3B5">
      <w:pPr>
        <w:adjustRightInd w:val="0"/>
        <w:snapToGrid w:val="0"/>
        <w:ind w:left="480" w:firstLine="0" w:firstLineChars="0"/>
        <w:rPr>
          <w:lang w:eastAsia="zh-CN"/>
        </w:rPr>
      </w:pPr>
    </w:p>
    <w:p w14:paraId="21B9FCCE">
      <w:pPr>
        <w:adjustRightInd w:val="0"/>
        <w:snapToGrid w:val="0"/>
        <w:ind w:left="480" w:firstLine="0" w:firstLineChars="0"/>
        <w:rPr>
          <w:lang w:eastAsia="zh-CN"/>
        </w:rPr>
      </w:pPr>
    </w:p>
    <w:p w14:paraId="6BE9DF32">
      <w:pPr>
        <w:adjustRightInd w:val="0"/>
        <w:snapToGrid w:val="0"/>
        <w:ind w:left="480" w:firstLine="0" w:firstLineChars="0"/>
        <w:rPr>
          <w:lang w:eastAsia="zh-CN"/>
        </w:rPr>
      </w:pPr>
    </w:p>
    <w:p w14:paraId="0A344626">
      <w:pPr>
        <w:adjustRightInd w:val="0"/>
        <w:snapToGrid w:val="0"/>
        <w:ind w:left="480" w:firstLine="0" w:firstLineChars="0"/>
        <w:rPr>
          <w:lang w:eastAsia="zh-CN"/>
        </w:rPr>
      </w:pPr>
    </w:p>
    <w:p w14:paraId="7E95D633">
      <w:pPr>
        <w:shd w:val="clear" w:color="auto" w:fill="FFFFFF"/>
        <w:tabs>
          <w:tab w:val="left" w:pos="0"/>
        </w:tabs>
        <w:adjustRightInd w:val="0"/>
        <w:snapToGrid w:val="0"/>
        <w:spacing w:line="360" w:lineRule="auto"/>
        <w:ind w:firstLine="0" w:firstLineChars="0"/>
        <w:jc w:val="center"/>
        <w:rPr>
          <w:rFonts w:hint="eastAsia" w:eastAsia="黑体"/>
          <w:b/>
          <w:color w:val="000000"/>
          <w:sz w:val="48"/>
          <w:szCs w:val="48"/>
          <w:lang w:eastAsia="zh-CN"/>
        </w:rPr>
      </w:pPr>
      <w:r>
        <w:rPr>
          <w:rFonts w:hint="eastAsia" w:eastAsia="黑体"/>
          <w:b/>
          <w:color w:val="000000"/>
          <w:sz w:val="48"/>
          <w:szCs w:val="48"/>
          <w:lang w:eastAsia="zh-CN"/>
        </w:rPr>
        <w:t>湖库水生态修复技术指南 第3部分：底质修复（试行）编制说明</w:t>
      </w:r>
    </w:p>
    <w:p w14:paraId="68B5288C">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7AAD8B06">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7CABA853">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1ABCDA0B">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0E6AE4CD">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2E63BCFA">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34DD7A53">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0F99F1DB">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3CBAB2EE">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09F2F149">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70F965DB">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44824DCF">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4D941888">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51F5BAB9">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029DE9B3">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7CEB8B33">
      <w:pPr>
        <w:shd w:val="clear" w:color="auto" w:fill="FFFFFF"/>
        <w:tabs>
          <w:tab w:val="left" w:pos="540"/>
        </w:tabs>
        <w:adjustRightInd w:val="0"/>
        <w:snapToGrid w:val="0"/>
        <w:spacing w:line="420" w:lineRule="exact"/>
        <w:ind w:left="118" w:right="-20" w:firstLine="433"/>
        <w:rPr>
          <w:color w:val="000000"/>
          <w:w w:val="99"/>
          <w:position w:val="-1"/>
          <w:sz w:val="22"/>
          <w:lang w:eastAsia="zh-CN"/>
        </w:rPr>
      </w:pPr>
    </w:p>
    <w:p w14:paraId="1D7B3DA1">
      <w:pPr>
        <w:shd w:val="clear" w:color="auto" w:fill="FFFFFF"/>
        <w:tabs>
          <w:tab w:val="left" w:pos="540"/>
        </w:tabs>
        <w:adjustRightInd w:val="0"/>
        <w:snapToGrid w:val="0"/>
        <w:spacing w:line="420" w:lineRule="exact"/>
        <w:ind w:left="118" w:right="-20" w:firstLine="433"/>
        <w:rPr>
          <w:color w:val="000000"/>
          <w:w w:val="99"/>
          <w:position w:val="-1"/>
          <w:sz w:val="22"/>
          <w:lang w:eastAsia="zh-CN"/>
        </w:rPr>
      </w:pPr>
    </w:p>
    <w:p w14:paraId="269EF30E">
      <w:pPr>
        <w:shd w:val="clear" w:color="auto" w:fill="FFFFFF"/>
        <w:tabs>
          <w:tab w:val="left" w:pos="2962"/>
        </w:tabs>
        <w:adjustRightInd w:val="0"/>
        <w:snapToGrid w:val="0"/>
        <w:spacing w:line="420" w:lineRule="exact"/>
        <w:ind w:right="-20" w:firstLine="0" w:firstLineChars="0"/>
        <w:jc w:val="center"/>
        <w:rPr>
          <w:rFonts w:hint="eastAsia" w:ascii="仿宋_GB2312" w:hAnsi="仿宋_GB2312" w:eastAsia="仿宋_GB2312" w:cs="仿宋_GB2312"/>
          <w:b/>
          <w:bCs w:val="0"/>
          <w:color w:val="000000"/>
          <w:sz w:val="32"/>
          <w:szCs w:val="32"/>
          <w:lang w:eastAsia="zh-CN"/>
        </w:rPr>
      </w:pPr>
      <w:r>
        <w:rPr>
          <w:rFonts w:hint="eastAsia" w:ascii="仿宋_GB2312" w:hAnsi="仿宋_GB2312" w:eastAsia="仿宋_GB2312" w:cs="仿宋_GB2312"/>
          <w:b/>
          <w:bCs w:val="0"/>
          <w:color w:val="000000"/>
          <w:sz w:val="32"/>
          <w:szCs w:val="32"/>
          <w:lang w:val="en-US" w:eastAsia="zh-CN"/>
        </w:rPr>
        <w:t>指南</w:t>
      </w:r>
      <w:r>
        <w:rPr>
          <w:rFonts w:hint="eastAsia" w:ascii="仿宋_GB2312" w:hAnsi="仿宋_GB2312" w:eastAsia="仿宋_GB2312" w:cs="仿宋_GB2312"/>
          <w:b/>
          <w:bCs w:val="0"/>
          <w:color w:val="000000"/>
          <w:sz w:val="32"/>
          <w:szCs w:val="32"/>
          <w:lang w:eastAsia="zh-CN"/>
        </w:rPr>
        <w:t>编制组</w:t>
      </w:r>
    </w:p>
    <w:p w14:paraId="0CACB69B">
      <w:pPr>
        <w:shd w:val="clear" w:color="auto" w:fill="FFFFFF"/>
        <w:tabs>
          <w:tab w:val="left" w:pos="2962"/>
        </w:tabs>
        <w:adjustRightInd w:val="0"/>
        <w:snapToGrid w:val="0"/>
        <w:spacing w:line="420" w:lineRule="exact"/>
        <w:ind w:right="-20" w:firstLine="0" w:firstLineChars="0"/>
        <w:jc w:val="center"/>
        <w:rPr>
          <w:rFonts w:hint="eastAsia" w:ascii="仿宋_GB2312" w:hAnsi="仿宋_GB2312" w:eastAsia="仿宋_GB2312" w:cs="仿宋_GB2312"/>
          <w:b/>
          <w:bCs w:val="0"/>
          <w:color w:val="000000"/>
          <w:sz w:val="32"/>
          <w:szCs w:val="32"/>
          <w:lang w:eastAsia="zh-CN"/>
        </w:rPr>
      </w:pPr>
      <w:r>
        <w:rPr>
          <w:rFonts w:hint="eastAsia" w:ascii="仿宋_GB2312" w:hAnsi="仿宋_GB2312" w:eastAsia="仿宋_GB2312" w:cs="仿宋_GB2312"/>
          <w:b/>
          <w:bCs w:val="0"/>
          <w:color w:val="000000"/>
          <w:sz w:val="32"/>
          <w:szCs w:val="32"/>
          <w:lang w:eastAsia="zh-CN"/>
        </w:rPr>
        <w:t>202</w:t>
      </w:r>
      <w:r>
        <w:rPr>
          <w:rFonts w:hint="eastAsia" w:ascii="仿宋_GB2312" w:hAnsi="仿宋_GB2312" w:eastAsia="仿宋_GB2312" w:cs="仿宋_GB2312"/>
          <w:b/>
          <w:bCs w:val="0"/>
          <w:color w:val="000000"/>
          <w:sz w:val="32"/>
          <w:szCs w:val="32"/>
          <w:lang w:val="en-US" w:eastAsia="zh-CN"/>
        </w:rPr>
        <w:t>5</w:t>
      </w:r>
      <w:r>
        <w:rPr>
          <w:rFonts w:hint="eastAsia" w:ascii="仿宋_GB2312" w:hAnsi="仿宋_GB2312" w:eastAsia="仿宋_GB2312" w:cs="仿宋_GB2312"/>
          <w:b/>
          <w:bCs w:val="0"/>
          <w:color w:val="000000"/>
          <w:sz w:val="32"/>
          <w:szCs w:val="32"/>
          <w:lang w:eastAsia="zh-CN"/>
        </w:rPr>
        <w:t>年</w:t>
      </w:r>
      <w:r>
        <w:rPr>
          <w:rFonts w:hint="eastAsia" w:ascii="仿宋_GB2312" w:hAnsi="仿宋_GB2312" w:eastAsia="仿宋_GB2312" w:cs="仿宋_GB2312"/>
          <w:b/>
          <w:bCs w:val="0"/>
          <w:color w:val="000000"/>
          <w:sz w:val="32"/>
          <w:szCs w:val="32"/>
          <w:lang w:val="en-US" w:eastAsia="zh-CN"/>
        </w:rPr>
        <w:t>7</w:t>
      </w:r>
      <w:r>
        <w:rPr>
          <w:rFonts w:hint="eastAsia" w:ascii="仿宋_GB2312" w:hAnsi="仿宋_GB2312" w:eastAsia="仿宋_GB2312" w:cs="仿宋_GB2312"/>
          <w:b/>
          <w:bCs w:val="0"/>
          <w:color w:val="000000"/>
          <w:sz w:val="32"/>
          <w:szCs w:val="32"/>
          <w:lang w:eastAsia="zh-CN"/>
        </w:rPr>
        <w:t>月</w:t>
      </w:r>
      <w:bookmarkEnd w:id="0"/>
    </w:p>
    <w:p w14:paraId="08648E39">
      <w:pPr>
        <w:shd w:val="clear" w:color="auto" w:fill="FFFFFF"/>
        <w:tabs>
          <w:tab w:val="left" w:pos="540"/>
        </w:tabs>
        <w:adjustRightInd w:val="0"/>
        <w:snapToGrid w:val="0"/>
        <w:spacing w:line="420" w:lineRule="exact"/>
        <w:ind w:right="-20" w:firstLine="600"/>
        <w:jc w:val="center"/>
        <w:rPr>
          <w:rFonts w:eastAsia="黑体"/>
          <w:bCs/>
          <w:color w:val="000000"/>
          <w:sz w:val="30"/>
          <w:szCs w:val="30"/>
          <w:lang w:eastAsia="zh-CN"/>
        </w:rPr>
      </w:pPr>
    </w:p>
    <w:p w14:paraId="0D7E8835">
      <w:pPr>
        <w:shd w:val="clear" w:color="auto" w:fill="FFFFFF"/>
        <w:tabs>
          <w:tab w:val="left" w:pos="0"/>
        </w:tabs>
        <w:adjustRightInd w:val="0"/>
        <w:snapToGrid w:val="0"/>
        <w:spacing w:line="420" w:lineRule="exact"/>
        <w:ind w:right="-20" w:firstLine="0" w:firstLineChars="0"/>
        <w:rPr>
          <w:color w:val="000000"/>
          <w:w w:val="99"/>
          <w:position w:val="-1"/>
          <w:sz w:val="28"/>
          <w:szCs w:val="28"/>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26" w:charSpace="0"/>
        </w:sectPr>
      </w:pPr>
    </w:p>
    <w:p w14:paraId="1E181E82">
      <w:pPr>
        <w:adjustRightInd w:val="0"/>
        <w:snapToGrid w:val="0"/>
        <w:ind w:firstLine="0" w:firstLineChars="0"/>
        <w:jc w:val="center"/>
        <w:rPr>
          <w:rFonts w:eastAsia="黑体"/>
          <w:b/>
          <w:color w:val="000000"/>
          <w:sz w:val="36"/>
          <w:szCs w:val="36"/>
          <w:lang w:eastAsia="zh-CN"/>
        </w:rPr>
      </w:pPr>
      <w:bookmarkStart w:id="1" w:name="_Toc511507465"/>
      <w:bookmarkStart w:id="2" w:name="_Toc516393368"/>
      <w:bookmarkStart w:id="3" w:name="_Toc511396440"/>
      <w:r>
        <w:rPr>
          <w:rFonts w:eastAsia="黑体"/>
          <w:b/>
          <w:color w:val="000000"/>
          <w:sz w:val="36"/>
          <w:szCs w:val="36"/>
          <w:lang w:val="zh-CN" w:eastAsia="zh-CN"/>
        </w:rPr>
        <w:t>目  录</w:t>
      </w:r>
    </w:p>
    <w:p w14:paraId="5BE03A9A">
      <w:pPr>
        <w:pStyle w:val="19"/>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b w:val="0"/>
          <w:bCs w:val="0"/>
          <w:i w:val="0"/>
          <w:iCs w:val="0"/>
          <w:caps w:val="0"/>
          <w:color w:val="000000"/>
          <w:sz w:val="28"/>
          <w:szCs w:val="28"/>
        </w:rPr>
        <w:fldChar w:fldCharType="begin"/>
      </w:r>
      <w:r>
        <w:rPr>
          <w:rFonts w:hint="default" w:ascii="Times New Roman" w:hAnsi="Times New Roman" w:cs="Times New Roman" w:eastAsiaTheme="minorEastAsia"/>
          <w:b w:val="0"/>
          <w:bCs w:val="0"/>
          <w:i w:val="0"/>
          <w:iCs w:val="0"/>
          <w:caps w:val="0"/>
          <w:color w:val="000000"/>
          <w:sz w:val="28"/>
          <w:szCs w:val="28"/>
        </w:rPr>
        <w:instrText xml:space="preserve"> TOC \o "1-3" \h \z \u </w:instrText>
      </w:r>
      <w:r>
        <w:rPr>
          <w:rFonts w:hint="default" w:ascii="Times New Roman" w:hAnsi="Times New Roman" w:cs="Times New Roman" w:eastAsiaTheme="minorEastAsia"/>
          <w:b w:val="0"/>
          <w:bCs w:val="0"/>
          <w:i w:val="0"/>
          <w:iCs w:val="0"/>
          <w:caps w:val="0"/>
          <w:color w:val="000000"/>
          <w:sz w:val="28"/>
          <w:szCs w:val="28"/>
        </w:rPr>
        <w:fldChar w:fldCharType="separate"/>
      </w:r>
      <w:r>
        <w:rPr>
          <w:rFonts w:hint="default" w:ascii="Times New Roman" w:hAnsi="Times New Roman" w:cs="Times New Roman" w:eastAsiaTheme="minorEastAsia"/>
          <w:bCs w:val="0"/>
          <w:i w:val="0"/>
          <w:iCs w:val="0"/>
          <w:caps w:val="0"/>
          <w:color w:val="000000"/>
          <w:sz w:val="28"/>
          <w:szCs w:val="28"/>
        </w:rPr>
        <w:fldChar w:fldCharType="begin"/>
      </w:r>
      <w:r>
        <w:rPr>
          <w:rFonts w:hint="default" w:ascii="Times New Roman" w:hAnsi="Times New Roman" w:cs="Times New Roman" w:eastAsiaTheme="minorEastAsia"/>
          <w:bCs w:val="0"/>
          <w:i w:val="0"/>
          <w:iCs w:val="0"/>
          <w:caps w:val="0"/>
          <w:sz w:val="28"/>
          <w:szCs w:val="28"/>
        </w:rPr>
        <w:instrText xml:space="preserve"> HYPERLINK \l _Toc17346 </w:instrText>
      </w:r>
      <w:r>
        <w:rPr>
          <w:rFonts w:hint="default" w:ascii="Times New Roman" w:hAnsi="Times New Roman" w:cs="Times New Roman" w:eastAsiaTheme="minorEastAsia"/>
          <w:bCs w:val="0"/>
          <w:i w:val="0"/>
          <w:iCs w:val="0"/>
          <w:cap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一、</w:t>
      </w:r>
      <w:r>
        <w:rPr>
          <w:rFonts w:hint="default" w:ascii="Times New Roman" w:hAnsi="Times New Roman" w:cs="Times New Roman" w:eastAsiaTheme="minorEastAsia"/>
          <w:i w:val="0"/>
          <w:iCs w:val="0"/>
          <w:sz w:val="28"/>
          <w:szCs w:val="28"/>
          <w:lang w:eastAsia="zh-CN"/>
        </w:rPr>
        <w:t>出台背景</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_Toc17346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bCs w:val="0"/>
          <w:i w:val="0"/>
          <w:iCs w:val="0"/>
          <w:caps w:val="0"/>
          <w:color w:val="000000"/>
          <w:sz w:val="28"/>
          <w:szCs w:val="28"/>
        </w:rPr>
        <w:fldChar w:fldCharType="end"/>
      </w:r>
    </w:p>
    <w:p w14:paraId="074E89B2">
      <w:pPr>
        <w:pStyle w:val="19"/>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_Toc19666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二、</w:t>
      </w:r>
      <w:r>
        <w:rPr>
          <w:rFonts w:hint="default" w:ascii="Times New Roman" w:hAnsi="Times New Roman" w:cs="Times New Roman" w:eastAsiaTheme="minorEastAsia"/>
          <w:i w:val="0"/>
          <w:iCs w:val="0"/>
          <w:sz w:val="28"/>
          <w:szCs w:val="28"/>
          <w:lang w:eastAsia="zh-CN"/>
        </w:rPr>
        <w:t>必要性分析</w:t>
      </w:r>
      <w:r>
        <w:rPr>
          <w:rFonts w:hint="default" w:ascii="Times New Roman" w:hAnsi="Times New Roman" w:cs="Times New Roman" w:eastAsiaTheme="minorEastAsia"/>
          <w:i w:val="0"/>
          <w:iCs w:val="0"/>
          <w:sz w:val="28"/>
          <w:szCs w:val="28"/>
          <w:lang w:val="en-US" w:eastAsia="zh-CN"/>
        </w:rPr>
        <w:t>和可行性分析</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_Toc19666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33BAB0AA">
      <w:pPr>
        <w:pStyle w:val="2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_Toc21101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1.1</w:t>
      </w:r>
      <w:r>
        <w:rPr>
          <w:rFonts w:hint="default" w:ascii="Times New Roman" w:hAnsi="Times New Roman" w:cs="Times New Roman" w:eastAsiaTheme="minorEastAsia"/>
          <w:i w:val="0"/>
          <w:iCs w:val="0"/>
          <w:sz w:val="28"/>
          <w:szCs w:val="28"/>
          <w:lang w:val="en-US" w:eastAsia="zh-CN"/>
        </w:rPr>
        <w:t>必要性</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_Toc21101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2</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326490D7">
      <w:pPr>
        <w:pStyle w:val="2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_Toc16614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1.2</w:t>
      </w:r>
      <w:r>
        <w:rPr>
          <w:rFonts w:hint="default" w:ascii="Times New Roman" w:hAnsi="Times New Roman" w:cs="Times New Roman" w:eastAsiaTheme="minorEastAsia"/>
          <w:i w:val="0"/>
          <w:iCs w:val="0"/>
          <w:sz w:val="28"/>
          <w:szCs w:val="28"/>
          <w:lang w:val="en-US" w:eastAsia="zh-CN"/>
        </w:rPr>
        <w:t>可行性</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_Toc16614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2</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409CB8B6">
      <w:pPr>
        <w:pStyle w:val="19"/>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_Toc4749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三、</w:t>
      </w:r>
      <w:r>
        <w:rPr>
          <w:rFonts w:hint="default" w:ascii="Times New Roman" w:hAnsi="Times New Roman" w:cs="Times New Roman" w:eastAsiaTheme="minorEastAsia"/>
          <w:i w:val="0"/>
          <w:iCs w:val="0"/>
          <w:sz w:val="28"/>
          <w:szCs w:val="28"/>
          <w:lang w:eastAsia="zh-CN"/>
        </w:rPr>
        <w:t>标准框架的确定</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_Toc4749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53DFE668">
      <w:pPr>
        <w:pStyle w:val="2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_Toc13715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3.1</w:t>
      </w:r>
      <w:r>
        <w:rPr>
          <w:rFonts w:hint="default" w:ascii="Times New Roman" w:hAnsi="Times New Roman" w:cs="Times New Roman" w:eastAsiaTheme="minorEastAsia"/>
          <w:i w:val="0"/>
          <w:iCs w:val="0"/>
          <w:sz w:val="28"/>
          <w:szCs w:val="28"/>
        </w:rPr>
        <w:t>总体思路</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_Toc13715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1C7762C9">
      <w:pPr>
        <w:pStyle w:val="2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_Toc30467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3.2</w:t>
      </w:r>
      <w:r>
        <w:rPr>
          <w:rFonts w:hint="default" w:ascii="Times New Roman" w:hAnsi="Times New Roman" w:cs="Times New Roman" w:eastAsiaTheme="minorEastAsia"/>
          <w:i w:val="0"/>
          <w:iCs w:val="0"/>
          <w:sz w:val="28"/>
          <w:szCs w:val="28"/>
        </w:rPr>
        <w:t>编制依据</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_Toc30467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3AF2D69E">
      <w:pPr>
        <w:pStyle w:val="2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_Toc7131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3.3</w:t>
      </w:r>
      <w:r>
        <w:rPr>
          <w:rFonts w:hint="default" w:ascii="Times New Roman" w:hAnsi="Times New Roman" w:cs="Times New Roman" w:eastAsiaTheme="minorEastAsia"/>
          <w:i w:val="0"/>
          <w:iCs w:val="0"/>
          <w:sz w:val="28"/>
          <w:szCs w:val="28"/>
        </w:rPr>
        <w:t>编制原则</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_Toc7131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448B9C28">
      <w:pPr>
        <w:pStyle w:val="19"/>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_Toc30666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四、</w:t>
      </w:r>
      <w:r>
        <w:rPr>
          <w:rFonts w:hint="default" w:ascii="Times New Roman" w:hAnsi="Times New Roman" w:cs="Times New Roman" w:eastAsiaTheme="minorEastAsia"/>
          <w:i w:val="0"/>
          <w:iCs w:val="0"/>
          <w:sz w:val="28"/>
          <w:szCs w:val="28"/>
          <w:lang w:eastAsia="zh-CN"/>
        </w:rPr>
        <w:t>标准编制过程</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_Toc30666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7DA16467">
      <w:pPr>
        <w:pStyle w:val="19"/>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_Toc13004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五、</w:t>
      </w:r>
      <w:r>
        <w:rPr>
          <w:rFonts w:hint="default" w:ascii="Times New Roman" w:hAnsi="Times New Roman" w:cs="Times New Roman" w:eastAsiaTheme="minorEastAsia"/>
          <w:i w:val="0"/>
          <w:iCs w:val="0"/>
          <w:sz w:val="28"/>
          <w:szCs w:val="28"/>
          <w:lang w:eastAsia="zh-CN"/>
        </w:rPr>
        <w:t>主要技术内容</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_Toc13004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5</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66EACBB9">
      <w:pPr>
        <w:pStyle w:val="2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_Toc19145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5.1</w:t>
      </w:r>
      <w:r>
        <w:rPr>
          <w:rFonts w:hint="default" w:ascii="Times New Roman" w:hAnsi="Times New Roman" w:cs="Times New Roman" w:eastAsiaTheme="minorEastAsia"/>
          <w:i w:val="0"/>
          <w:iCs w:val="0"/>
          <w:sz w:val="28"/>
          <w:szCs w:val="28"/>
        </w:rPr>
        <w:t>标准框架结构</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_Toc19145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6</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724289A3">
      <w:pPr>
        <w:pStyle w:val="2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_Toc18292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w:t>
      </w:r>
      <w:r>
        <w:rPr>
          <w:rFonts w:hint="default" w:ascii="Times New Roman" w:hAnsi="Times New Roman" w:cs="Times New Roman" w:eastAsiaTheme="minorEastAsia"/>
          <w:i w:val="0"/>
          <w:iCs w:val="0"/>
          <w:sz w:val="28"/>
          <w:szCs w:val="28"/>
        </w:rPr>
        <w:t>条文说明</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_Toc18292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63ACB6BD">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_Toc25721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5.2.1</w:t>
      </w:r>
      <w:r>
        <w:rPr>
          <w:rFonts w:hint="default" w:ascii="Times New Roman" w:hAnsi="Times New Roman" w:cs="Times New Roman" w:eastAsiaTheme="minorEastAsia"/>
          <w:i w:val="0"/>
          <w:iCs w:val="0"/>
          <w:sz w:val="28"/>
          <w:szCs w:val="28"/>
        </w:rPr>
        <w:t>范围</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_Toc25721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1F8AACEB">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_Toc29067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5.2.2</w:t>
      </w:r>
      <w:r>
        <w:rPr>
          <w:rFonts w:hint="default" w:ascii="Times New Roman" w:hAnsi="Times New Roman" w:cs="Times New Roman" w:eastAsiaTheme="minorEastAsia"/>
          <w:i w:val="0"/>
          <w:iCs w:val="0"/>
          <w:sz w:val="28"/>
          <w:szCs w:val="28"/>
        </w:rPr>
        <w:t>规范性引用文件</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_Toc29067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74CBF103">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_Toc1638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5.2.3</w:t>
      </w:r>
      <w:r>
        <w:rPr>
          <w:rFonts w:hint="default" w:ascii="Times New Roman" w:hAnsi="Times New Roman" w:cs="Times New Roman" w:eastAsiaTheme="minorEastAsia"/>
          <w:i w:val="0"/>
          <w:iCs w:val="0"/>
          <w:sz w:val="28"/>
          <w:szCs w:val="28"/>
        </w:rPr>
        <w:t>术语与定义</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_Toc1638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055CA806">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_Toc6734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5.2.4</w:t>
      </w:r>
      <w:r>
        <w:rPr>
          <w:rFonts w:hint="default" w:ascii="Times New Roman" w:hAnsi="Times New Roman" w:cs="Times New Roman" w:eastAsiaTheme="minorEastAsia"/>
          <w:i w:val="0"/>
          <w:iCs w:val="0"/>
          <w:sz w:val="28"/>
          <w:szCs w:val="28"/>
        </w:rPr>
        <w:t>一般规定</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_Toc6734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8</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60EFD128">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_Toc4888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5.2.5工作流程</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_Toc4888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8</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62A4686A">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_Toc18278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5.2.6</w:t>
      </w:r>
      <w:r>
        <w:rPr>
          <w:rFonts w:hint="default" w:ascii="Times New Roman" w:hAnsi="Times New Roman" w:cs="Times New Roman" w:eastAsiaTheme="minorEastAsia"/>
          <w:i w:val="0"/>
          <w:iCs w:val="0"/>
          <w:sz w:val="28"/>
          <w:szCs w:val="28"/>
        </w:rPr>
        <w:t>清淤疏浚</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_Toc18278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8</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5B2A6F89">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_Toc23017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5.2.7底质覆盖</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_Toc23017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9</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7C5B7623">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_Toc12750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5.2.8</w:t>
      </w:r>
      <w:r>
        <w:rPr>
          <w:rFonts w:hint="default" w:ascii="Times New Roman" w:hAnsi="Times New Roman" w:cs="Times New Roman" w:eastAsiaTheme="minorEastAsia"/>
          <w:i w:val="0"/>
          <w:iCs w:val="0"/>
          <w:sz w:val="28"/>
          <w:szCs w:val="28"/>
        </w:rPr>
        <w:t>生物修复</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_Toc12750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9</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77AE321C">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_Toc25287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5.2.9</w:t>
      </w:r>
      <w:r>
        <w:rPr>
          <w:rFonts w:hint="default" w:ascii="Times New Roman" w:hAnsi="Times New Roman" w:cs="Times New Roman" w:eastAsiaTheme="minorEastAsia"/>
          <w:i w:val="0"/>
          <w:iCs w:val="0"/>
          <w:sz w:val="28"/>
          <w:szCs w:val="28"/>
        </w:rPr>
        <w:t>化学修复</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_Toc25287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10</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29617A8C">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_Toc12559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5.2.10</w:t>
      </w:r>
      <w:r>
        <w:rPr>
          <w:rFonts w:hint="default" w:ascii="Times New Roman" w:hAnsi="Times New Roman" w:cs="Times New Roman" w:eastAsiaTheme="minorEastAsia"/>
          <w:i w:val="0"/>
          <w:iCs w:val="0"/>
          <w:sz w:val="28"/>
          <w:szCs w:val="28"/>
        </w:rPr>
        <w:t>脱水干化</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_Toc12559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10</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6C93C181">
      <w:pPr>
        <w:pStyle w:val="1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_Toc16649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5.2.11</w:t>
      </w:r>
      <w:r>
        <w:rPr>
          <w:rFonts w:hint="default" w:ascii="Times New Roman" w:hAnsi="Times New Roman" w:cs="Times New Roman" w:eastAsiaTheme="minorEastAsia"/>
          <w:i w:val="0"/>
          <w:iCs w:val="0"/>
          <w:sz w:val="28"/>
          <w:szCs w:val="28"/>
        </w:rPr>
        <w:t>技术比选</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_Toc16649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11</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2D36BB15">
      <w:pPr>
        <w:pStyle w:val="19"/>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_Toc1367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六、</w:t>
      </w:r>
      <w:r>
        <w:rPr>
          <w:rFonts w:hint="default" w:ascii="Times New Roman" w:hAnsi="Times New Roman" w:cs="Times New Roman" w:eastAsiaTheme="minorEastAsia"/>
          <w:i w:val="0"/>
          <w:iCs w:val="0"/>
          <w:sz w:val="28"/>
          <w:szCs w:val="28"/>
          <w:lang w:eastAsia="zh-CN"/>
        </w:rPr>
        <w:t>国内外标准情况、与国际标准一致性程度情况</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_Toc1367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11</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324F4A65">
      <w:pPr>
        <w:pStyle w:val="2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_Toc28075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6.1国内标准情况</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_Toc28075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12</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2A6A9DEE">
      <w:pPr>
        <w:pStyle w:val="23"/>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_Toc7977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6.2国际标准情况</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_Toc7977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4FD0C868">
      <w:pPr>
        <w:pStyle w:val="19"/>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_Toc27825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七、与相关强制性标准、法律法规配套情况</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_Toc27825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7374B389">
      <w:pPr>
        <w:pStyle w:val="19"/>
        <w:keepNext w:val="0"/>
        <w:keepLines w:val="0"/>
        <w:pageBreakBefore w:val="0"/>
        <w:widowControl w:val="0"/>
        <w:tabs>
          <w:tab w:val="right" w:leader="dot" w:pos="8306"/>
        </w:tabs>
        <w:kinsoku/>
        <w:wordWrap/>
        <w:overflowPunct/>
        <w:topLinePunct w:val="0"/>
        <w:autoSpaceDE/>
        <w:autoSpaceDN/>
        <w:bidi w:val="0"/>
        <w:adjustRightIn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_Toc14784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八、</w:t>
      </w:r>
      <w:r>
        <w:rPr>
          <w:rFonts w:hint="default" w:ascii="Times New Roman" w:hAnsi="Times New Roman" w:cs="Times New Roman" w:eastAsiaTheme="minorEastAsia"/>
          <w:i w:val="0"/>
          <w:iCs w:val="0"/>
          <w:sz w:val="28"/>
          <w:szCs w:val="28"/>
          <w:lang w:eastAsia="zh-CN"/>
        </w:rPr>
        <w:t>实施本文件的建议</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_Toc14784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062385F1">
      <w:pPr>
        <w:pStyle w:val="19"/>
        <w:keepNext w:val="0"/>
        <w:keepLines w:val="0"/>
        <w:pageBreakBefore w:val="0"/>
        <w:widowControl w:val="0"/>
        <w:tabs>
          <w:tab w:val="left" w:pos="880"/>
          <w:tab w:val="right" w:leader="dot" w:pos="8296"/>
        </w:tabs>
        <w:kinsoku/>
        <w:wordWrap/>
        <w:overflowPunct/>
        <w:topLinePunct w:val="0"/>
        <w:autoSpaceDE/>
        <w:autoSpaceDN/>
        <w:bidi w:val="0"/>
        <w:adjustRightInd/>
        <w:snapToGrid w:val="0"/>
        <w:spacing w:line="560" w:lineRule="exact"/>
        <w:ind w:firstLine="562"/>
        <w:textAlignment w:val="auto"/>
        <w:rPr>
          <w:rFonts w:ascii="Times New Roman" w:hAnsi="Times New Roman" w:cs="Times New Roman"/>
          <w:color w:val="000000"/>
          <w:sz w:val="22"/>
        </w:rPr>
      </w:pPr>
      <w:r>
        <w:rPr>
          <w:rFonts w:hint="default" w:ascii="Times New Roman" w:hAnsi="Times New Roman" w:cs="Times New Roman" w:eastAsiaTheme="minorEastAsia"/>
          <w:i w:val="0"/>
          <w:iCs w:val="0"/>
          <w:color w:val="000000"/>
          <w:sz w:val="28"/>
          <w:szCs w:val="28"/>
        </w:rPr>
        <w:fldChar w:fldCharType="end"/>
      </w:r>
    </w:p>
    <w:p w14:paraId="21996BFD">
      <w:pPr>
        <w:adjustRightInd w:val="0"/>
        <w:snapToGrid w:val="0"/>
        <w:spacing w:line="360" w:lineRule="auto"/>
        <w:ind w:firstLine="560"/>
        <w:rPr>
          <w:color w:val="000000"/>
          <w:sz w:val="28"/>
          <w:szCs w:val="24"/>
          <w:lang w:eastAsia="zh-CN"/>
        </w:rPr>
        <w:sectPr>
          <w:footerReference r:id="rId12" w:type="first"/>
          <w:footerReference r:id="rId11" w:type="default"/>
          <w:pgSz w:w="11906" w:h="16838"/>
          <w:pgMar w:top="1440" w:right="1800" w:bottom="1440" w:left="1800" w:header="851" w:footer="992" w:gutter="0"/>
          <w:pgNumType w:fmt="upperRoman" w:start="1"/>
          <w:cols w:space="720" w:num="1"/>
          <w:titlePg/>
          <w:docGrid w:type="lines" w:linePitch="326" w:charSpace="0"/>
        </w:sectPr>
      </w:pPr>
    </w:p>
    <w:p w14:paraId="6BCC318B">
      <w:pPr>
        <w:pStyle w:val="2"/>
        <w:numPr>
          <w:ilvl w:val="0"/>
          <w:numId w:val="0"/>
        </w:numPr>
        <w:bidi w:val="0"/>
        <w:ind w:left="0" w:leftChars="0" w:firstLine="0" w:firstLineChars="0"/>
        <w:rPr>
          <w:lang w:eastAsia="zh-CN"/>
        </w:rPr>
      </w:pPr>
      <w:bookmarkStart w:id="4" w:name="_Toc17346"/>
      <w:r>
        <w:rPr>
          <w:rFonts w:hint="eastAsia" w:ascii="Times New Roman" w:hAnsi="Times New Roman" w:eastAsia="黑体" w:cs="Times New Roman"/>
          <w:sz w:val="32"/>
          <w:szCs w:val="28"/>
          <w:lang w:val="en-US" w:eastAsia="zh-CN" w:bidi="ar-SA"/>
        </w:rPr>
        <w:t>一、</w:t>
      </w:r>
      <w:r>
        <w:rPr>
          <w:rFonts w:hint="eastAsia"/>
          <w:lang w:eastAsia="zh-CN"/>
        </w:rPr>
        <w:t>出台</w:t>
      </w:r>
      <w:r>
        <w:rPr>
          <w:lang w:eastAsia="zh-CN"/>
        </w:rPr>
        <w:t>背景</w:t>
      </w:r>
      <w:bookmarkEnd w:id="1"/>
      <w:bookmarkEnd w:id="2"/>
      <w:bookmarkEnd w:id="3"/>
      <w:bookmarkEnd w:id="4"/>
    </w:p>
    <w:p w14:paraId="43B91561">
      <w:pPr>
        <w:adjustRightInd w:val="0"/>
        <w:snapToGrid w:val="0"/>
        <w:spacing w:line="360" w:lineRule="auto"/>
        <w:ind w:firstLine="560"/>
        <w:rPr>
          <w:color w:val="000000"/>
          <w:sz w:val="28"/>
          <w:szCs w:val="28"/>
          <w:lang w:eastAsia="zh-CN"/>
        </w:rPr>
      </w:pPr>
      <w:r>
        <w:rPr>
          <w:rFonts w:hint="eastAsia"/>
          <w:color w:val="000000"/>
          <w:sz w:val="28"/>
          <w:szCs w:val="28"/>
          <w:lang w:eastAsia="zh-CN"/>
        </w:rPr>
        <w:t>近年来，随着人为社会经济活动影响，生态环境受到明显损害，湖库营养过程加剧，水生态系统健康受到很大冲击。水生态修复是湖库水质改善，生态功能恢复的重要途径之一，水生生物修复技术在湖库生态修复中被广泛应用。</w:t>
      </w:r>
    </w:p>
    <w:p w14:paraId="52C25402">
      <w:pPr>
        <w:adjustRightInd w:val="0"/>
        <w:snapToGrid w:val="0"/>
        <w:spacing w:line="360" w:lineRule="auto"/>
        <w:ind w:firstLine="560"/>
        <w:rPr>
          <w:color w:val="000000"/>
          <w:sz w:val="28"/>
          <w:szCs w:val="28"/>
          <w:lang w:eastAsia="zh-CN"/>
        </w:rPr>
      </w:pPr>
      <w:r>
        <w:rPr>
          <w:rFonts w:hint="eastAsia"/>
          <w:color w:val="000000"/>
          <w:sz w:val="28"/>
          <w:szCs w:val="28"/>
          <w:lang w:eastAsia="zh-CN"/>
        </w:rPr>
        <w:t>2015年，国务院印发的《水污染防治行动计划》（国发〔2015〕17号）明确提出“加快技术成果推广应用，重点推广水生态修复等适用技术的应用”。《江西省水污染防治工作方案》（赣府发〔2015〕62号）提出“开展全省水污染防治相关技术政策、技术指南的制修订”。</w:t>
      </w:r>
    </w:p>
    <w:p w14:paraId="5C5F7DD1">
      <w:pPr>
        <w:adjustRightInd w:val="0"/>
        <w:snapToGrid w:val="0"/>
        <w:spacing w:line="360" w:lineRule="auto"/>
        <w:ind w:firstLine="560"/>
        <w:rPr>
          <w:color w:val="000000"/>
          <w:sz w:val="28"/>
          <w:szCs w:val="28"/>
          <w:lang w:eastAsia="zh-CN"/>
        </w:rPr>
      </w:pPr>
      <w:r>
        <w:rPr>
          <w:rFonts w:hint="eastAsia"/>
          <w:color w:val="000000"/>
          <w:sz w:val="28"/>
          <w:szCs w:val="28"/>
          <w:lang w:eastAsia="zh-CN"/>
        </w:rPr>
        <w:t>2016年，为推进国家“十三五”环境保护相关规划重大项目实施，环境保护部、财政部启动了水污染防治储备库建设，内容涵盖水质较好湖泊生态环境保护、城市集中式饮用水水源地保护、重点流域水污染防治、地下水污染防治等方面，大量生态修复类项目入库建设。</w:t>
      </w:r>
    </w:p>
    <w:p w14:paraId="3A5C7492">
      <w:pPr>
        <w:adjustRightInd w:val="0"/>
        <w:snapToGrid w:val="0"/>
        <w:spacing w:line="360" w:lineRule="auto"/>
        <w:ind w:firstLine="560"/>
        <w:rPr>
          <w:color w:val="000000"/>
          <w:sz w:val="28"/>
          <w:szCs w:val="28"/>
          <w:lang w:eastAsia="zh-CN"/>
        </w:rPr>
      </w:pPr>
      <w:r>
        <w:rPr>
          <w:rFonts w:hint="eastAsia"/>
          <w:color w:val="000000"/>
          <w:sz w:val="28"/>
          <w:szCs w:val="28"/>
          <w:lang w:eastAsia="zh-CN"/>
        </w:rPr>
        <w:t>《中华人民共和国长江保护法》明确提出“国家实行长江流域生态环境保护责任制和考核制度”。2021年5月14日生态环境部专报《关于推动建立长江流域“十四五”水生态考核机制的建议》提出“制定“十四五”长江流域水生态考核办法；明确长江流域“十四五”水生态试点量化考核指标；水生态考核在长江流域重点区域先行先试”。</w:t>
      </w:r>
    </w:p>
    <w:p w14:paraId="270EE060">
      <w:pPr>
        <w:adjustRightInd w:val="0"/>
        <w:snapToGrid w:val="0"/>
        <w:spacing w:line="360" w:lineRule="auto"/>
        <w:ind w:firstLine="560"/>
        <w:rPr>
          <w:color w:val="000000"/>
          <w:sz w:val="28"/>
          <w:szCs w:val="28"/>
          <w:lang w:eastAsia="zh-CN"/>
        </w:rPr>
      </w:pPr>
      <w:r>
        <w:rPr>
          <w:rFonts w:hint="eastAsia"/>
          <w:color w:val="000000"/>
          <w:sz w:val="28"/>
          <w:szCs w:val="28"/>
          <w:lang w:eastAsia="zh-CN"/>
        </w:rPr>
        <w:t>2021年8月31日中央深改委审议通过的《关于深入打好污染防治攻坚战的意见》明确指出“紧盯污染防治重点领域和关键环节，集中力量攻克老百姓身边的突出生态环境问题，强化多污染物协同控制和区域协同治理，统筹水资源、水环境、水生态治理”。</w:t>
      </w:r>
    </w:p>
    <w:p w14:paraId="1395AE15">
      <w:pPr>
        <w:pStyle w:val="2"/>
        <w:numPr>
          <w:ilvl w:val="0"/>
          <w:numId w:val="0"/>
        </w:numPr>
        <w:bidi w:val="0"/>
        <w:ind w:left="0" w:leftChars="0" w:firstLine="0" w:firstLineChars="0"/>
        <w:rPr>
          <w:rFonts w:hint="eastAsia" w:ascii="Times New Roman" w:hAnsi="Times New Roman" w:cs="Times New Roman"/>
          <w:lang w:eastAsia="zh-CN"/>
        </w:rPr>
      </w:pPr>
      <w:bookmarkStart w:id="5" w:name="_Toc19666"/>
      <w:bookmarkStart w:id="6" w:name="_Toc7993748"/>
      <w:r>
        <w:rPr>
          <w:rFonts w:hint="eastAsia" w:ascii="Times New Roman" w:hAnsi="Times New Roman" w:eastAsia="黑体" w:cs="Times New Roman"/>
          <w:sz w:val="32"/>
          <w:szCs w:val="28"/>
          <w:lang w:val="en-US" w:eastAsia="zh-CN" w:bidi="ar-SA"/>
        </w:rPr>
        <w:t>二、</w:t>
      </w:r>
      <w:r>
        <w:rPr>
          <w:rFonts w:hint="eastAsia" w:ascii="Times New Roman" w:hAnsi="Times New Roman" w:cs="Times New Roman"/>
          <w:lang w:eastAsia="zh-CN"/>
        </w:rPr>
        <w:t>必要性分析</w:t>
      </w:r>
      <w:r>
        <w:rPr>
          <w:rFonts w:hint="eastAsia" w:cs="Times New Roman"/>
          <w:lang w:val="en-US" w:eastAsia="zh-CN"/>
        </w:rPr>
        <w:t>和可行性分析</w:t>
      </w:r>
      <w:bookmarkEnd w:id="5"/>
    </w:p>
    <w:p w14:paraId="0DB543D4">
      <w:pPr>
        <w:pStyle w:val="3"/>
        <w:numPr>
          <w:ilvl w:val="1"/>
          <w:numId w:val="0"/>
        </w:numPr>
        <w:bidi w:val="0"/>
        <w:ind w:left="0" w:leftChars="0" w:firstLine="0" w:firstLineChars="0"/>
        <w:rPr>
          <w:rFonts w:hint="default" w:ascii="Times New Roman" w:hAnsi="Times New Roman" w:cs="Times New Roman"/>
          <w:lang w:val="en-US" w:eastAsia="zh-CN"/>
        </w:rPr>
      </w:pPr>
      <w:bookmarkStart w:id="7" w:name="_Toc21101"/>
      <w:r>
        <w:rPr>
          <w:rFonts w:hint="default" w:ascii="Times New Roman" w:hAnsi="Times New Roman" w:eastAsia="黑体" w:cs="Times New Roman"/>
          <w:sz w:val="28"/>
          <w:szCs w:val="21"/>
          <w:lang w:val="en-US" w:eastAsia="zh-CN" w:bidi="ar-SA"/>
        </w:rPr>
        <w:t>1.1</w:t>
      </w:r>
      <w:r>
        <w:rPr>
          <w:rFonts w:hint="eastAsia" w:ascii="Times New Roman" w:hAnsi="Times New Roman" w:cs="Times New Roman"/>
          <w:lang w:val="en-US" w:eastAsia="zh-CN"/>
        </w:rPr>
        <w:t>必要性</w:t>
      </w:r>
      <w:bookmarkEnd w:id="7"/>
    </w:p>
    <w:p w14:paraId="1997D84C">
      <w:pPr>
        <w:adjustRightInd w:val="0"/>
        <w:snapToGrid w:val="0"/>
        <w:spacing w:line="360" w:lineRule="auto"/>
        <w:ind w:firstLine="560"/>
        <w:rPr>
          <w:rFonts w:hint="eastAsia"/>
          <w:color w:val="000000"/>
          <w:sz w:val="28"/>
          <w:szCs w:val="28"/>
          <w:lang w:eastAsia="zh-CN"/>
        </w:rPr>
      </w:pPr>
      <w:r>
        <w:rPr>
          <w:rFonts w:hint="eastAsia"/>
          <w:color w:val="000000"/>
          <w:sz w:val="28"/>
          <w:szCs w:val="28"/>
          <w:lang w:eastAsia="zh-CN"/>
        </w:rPr>
        <w:t>我省制定《湖库水生态修复技术指南 第3部分：底质修复（试行）》指南出于两方面考虑。一是助力我省做好水生态考核工作的实际行动。2022年国家启动对长江流域开展水生态考核工作，并于2023年6月由国务院四部委联合印发了《长江流域水生态考核指标评分细则（试行）》，其中我省涉及的考核水体为长江江西段、鄱阳湖和赣江干流。2022年和2023年，国家连续两年开展长江流域水生态考核试点工作，其中</w:t>
      </w:r>
      <w:r>
        <w:rPr>
          <w:rFonts w:hint="eastAsia"/>
          <w:color w:val="000000"/>
          <w:sz w:val="28"/>
          <w:szCs w:val="28"/>
          <w:lang w:val="en-US" w:eastAsia="zh-CN"/>
        </w:rPr>
        <w:t>水生态系统健康</w:t>
      </w:r>
      <w:r>
        <w:rPr>
          <w:rFonts w:hint="eastAsia"/>
          <w:color w:val="000000"/>
          <w:sz w:val="28"/>
          <w:szCs w:val="28"/>
          <w:lang w:eastAsia="zh-CN"/>
        </w:rPr>
        <w:t>一级指标中的</w:t>
      </w:r>
      <w:r>
        <w:rPr>
          <w:rFonts w:hint="eastAsia"/>
          <w:color w:val="000000"/>
          <w:sz w:val="28"/>
          <w:szCs w:val="28"/>
          <w:lang w:val="en-US" w:eastAsia="zh-CN"/>
        </w:rPr>
        <w:t>大型底栖动物物种数</w:t>
      </w:r>
      <w:r>
        <w:rPr>
          <w:rFonts w:hint="eastAsia"/>
          <w:color w:val="000000"/>
          <w:sz w:val="28"/>
          <w:szCs w:val="28"/>
          <w:lang w:eastAsia="zh-CN"/>
        </w:rPr>
        <w:t>二级指标现状值与期望值差距较大。现阶段，各地提升湖库水生态系统健康面临诸多挑战，尤其是在</w:t>
      </w:r>
      <w:r>
        <w:rPr>
          <w:rFonts w:hint="eastAsia"/>
          <w:color w:val="000000"/>
          <w:sz w:val="28"/>
          <w:szCs w:val="28"/>
          <w:lang w:val="en-US" w:eastAsia="zh-CN"/>
        </w:rPr>
        <w:t>底质修复</w:t>
      </w:r>
      <w:r>
        <w:rPr>
          <w:rFonts w:hint="eastAsia"/>
          <w:color w:val="000000"/>
          <w:sz w:val="28"/>
          <w:szCs w:val="28"/>
          <w:lang w:eastAsia="zh-CN"/>
        </w:rPr>
        <w:t>方面缺乏技术支撑，亟需编制《湖库水生态修复技术指南 第3部分：底质修复（试行）》指南用于指导我省重要湖库水生态系统质量提升。二是水污染防治中央储备库建设和我省生态环境保护工作的实际需求。我省各市、区、县等地方政府在实施湖库水生态修复项目时往往遇到</w:t>
      </w:r>
      <w:r>
        <w:rPr>
          <w:rFonts w:hint="eastAsia"/>
          <w:color w:val="000000"/>
          <w:sz w:val="28"/>
          <w:szCs w:val="28"/>
          <w:lang w:val="en-US" w:eastAsia="zh-CN"/>
        </w:rPr>
        <w:t>底质修复</w:t>
      </w:r>
      <w:r>
        <w:rPr>
          <w:rFonts w:hint="eastAsia"/>
          <w:color w:val="000000"/>
          <w:sz w:val="28"/>
          <w:szCs w:val="28"/>
          <w:lang w:eastAsia="zh-CN"/>
        </w:rPr>
        <w:t>技术选择的茫然、技术实施效果的不确定以及技术实施监管的盲区等突出问题，严重制约着中央、地方专项资金实施效果和执行效率，降低政府的执政效能。目前我省在大型湖泊如柘林湖、仙女湖、陡水湖、万安水库、洪门水库，在水库型水源地如东津水库、长冈水库、共产主义水库、玉田湖，在天然湖泊如九江八里湖、南昌前湖、青山湖、鄱阳县东湖、共青城市南湖、鄱阳湖区等迫切需要开展相关生态修复试点和工程。近年来随着我省环保工作推进，全省水环境质量明显好转，但水质指标的改善并不意味着水生态系统的健康，尤其是</w:t>
      </w:r>
      <w:r>
        <w:rPr>
          <w:rFonts w:hint="eastAsia"/>
          <w:color w:val="000000"/>
          <w:sz w:val="28"/>
          <w:szCs w:val="28"/>
          <w:lang w:val="en-US" w:eastAsia="zh-CN"/>
        </w:rPr>
        <w:t>大型底栖动物物种恢复</w:t>
      </w:r>
      <w:r>
        <w:rPr>
          <w:rFonts w:hint="eastAsia"/>
          <w:color w:val="000000"/>
          <w:sz w:val="28"/>
          <w:szCs w:val="28"/>
          <w:lang w:eastAsia="zh-CN"/>
        </w:rPr>
        <w:t>亟待开展。因此，亟需制定适用于本地区特色的</w:t>
      </w:r>
      <w:r>
        <w:rPr>
          <w:rFonts w:hint="eastAsia"/>
          <w:color w:val="000000"/>
          <w:sz w:val="28"/>
          <w:szCs w:val="28"/>
          <w:lang w:val="en-US" w:eastAsia="zh-CN"/>
        </w:rPr>
        <w:t>底质修复</w:t>
      </w:r>
      <w:r>
        <w:rPr>
          <w:rFonts w:hint="eastAsia"/>
          <w:color w:val="000000"/>
          <w:sz w:val="28"/>
          <w:szCs w:val="28"/>
          <w:lang w:eastAsia="zh-CN"/>
        </w:rPr>
        <w:t>技术指南。</w:t>
      </w:r>
    </w:p>
    <w:p w14:paraId="5B5D11C4">
      <w:pPr>
        <w:pStyle w:val="3"/>
        <w:numPr>
          <w:ilvl w:val="1"/>
          <w:numId w:val="0"/>
        </w:numPr>
        <w:bidi w:val="0"/>
        <w:ind w:left="0" w:leftChars="0" w:firstLine="0" w:firstLineChars="0"/>
        <w:rPr>
          <w:rFonts w:hint="default" w:ascii="Times New Roman" w:hAnsi="Times New Roman" w:cs="Times New Roman"/>
          <w:lang w:val="en-US" w:eastAsia="zh-CN"/>
        </w:rPr>
      </w:pPr>
      <w:bookmarkStart w:id="8" w:name="_Toc16614"/>
      <w:r>
        <w:rPr>
          <w:rFonts w:hint="default" w:ascii="Times New Roman" w:hAnsi="Times New Roman" w:eastAsia="黑体" w:cs="Times New Roman"/>
          <w:sz w:val="28"/>
          <w:szCs w:val="21"/>
          <w:lang w:val="en-US" w:eastAsia="zh-CN" w:bidi="ar-SA"/>
        </w:rPr>
        <w:t>1.2</w:t>
      </w:r>
      <w:r>
        <w:rPr>
          <w:rFonts w:hint="eastAsia" w:ascii="Times New Roman" w:hAnsi="Times New Roman" w:cs="Times New Roman"/>
          <w:lang w:val="en-US" w:eastAsia="zh-CN"/>
        </w:rPr>
        <w:t>可行性</w:t>
      </w:r>
      <w:bookmarkEnd w:id="8"/>
    </w:p>
    <w:p w14:paraId="3A57E96D">
      <w:pPr>
        <w:adjustRightInd w:val="0"/>
        <w:snapToGrid w:val="0"/>
        <w:spacing w:line="360" w:lineRule="auto"/>
        <w:ind w:firstLine="560"/>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（1）标准编制的经济成本低</w:t>
      </w:r>
    </w:p>
    <w:p w14:paraId="703DCEDB">
      <w:pPr>
        <w:adjustRightInd w:val="0"/>
        <w:snapToGrid w:val="0"/>
        <w:spacing w:line="360" w:lineRule="auto"/>
        <w:ind w:firstLine="560"/>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本标准中推荐的底质修复适用技术在国内外较为成熟，无需开展相关技术研发，整个指南编制过程中经济成本投入较少，在人力、时间保障充足下能很好完成本标准编制工作。</w:t>
      </w:r>
    </w:p>
    <w:p w14:paraId="69048654">
      <w:pPr>
        <w:adjustRightInd w:val="0"/>
        <w:snapToGrid w:val="0"/>
        <w:spacing w:line="360" w:lineRule="auto"/>
        <w:ind w:firstLine="560"/>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（2）标准编制的技术团队强</w:t>
      </w:r>
    </w:p>
    <w:p w14:paraId="614A04CE">
      <w:pPr>
        <w:adjustRightInd w:val="0"/>
        <w:snapToGrid w:val="0"/>
        <w:spacing w:line="360" w:lineRule="auto"/>
        <w:ind w:firstLine="560"/>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本标准编制工作联合了省内外湖库水质改善技术研发方面的优势团队科研力量，其中起草单位是江西省生态环境科学研究与规划院、中国科学院水生生物研究所、南昌大学和中国环境科学研究院，标准编制团队既包括国家权威科研院所，又有地方科研机构，多方科研力量优势互补，为本标准的编制完成提供坚实的技术团队保障。</w:t>
      </w:r>
    </w:p>
    <w:p w14:paraId="2DF78913">
      <w:pPr>
        <w:adjustRightInd w:val="0"/>
        <w:snapToGrid w:val="0"/>
        <w:spacing w:line="360" w:lineRule="auto"/>
        <w:ind w:firstLine="560"/>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（3）标准编制的研究基础扎实</w:t>
      </w:r>
    </w:p>
    <w:p w14:paraId="510B0A72">
      <w:pPr>
        <w:adjustRightInd w:val="0"/>
        <w:snapToGrid w:val="0"/>
        <w:spacing w:line="360" w:lineRule="auto"/>
        <w:ind w:firstLine="560"/>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为做好本标准的编制工作，前期标准起草单位江西省生态环境科学研究与规划院通过大量资料收集、实地调研、部门对接等方式，基本摸清我省重点湖库水生态环境质量现状，为本标准编制提供了有力的数据支撑。中国科学院水生生物研究所、南昌大学和中国环境科学研究院长期从事湖库底质修复技术研发，在太湖、滇池、巢湖、武汉东湖等重要水体均有治理经验，集成了一批典型案例，为本标准编制提供了的充足的技术保障。</w:t>
      </w:r>
    </w:p>
    <w:p w14:paraId="00894E06">
      <w:pPr>
        <w:pStyle w:val="2"/>
        <w:numPr>
          <w:ilvl w:val="0"/>
          <w:numId w:val="0"/>
        </w:numPr>
        <w:bidi w:val="0"/>
        <w:ind w:left="0" w:leftChars="0" w:firstLine="0" w:firstLineChars="0"/>
        <w:rPr>
          <w:rFonts w:hint="eastAsia" w:ascii="Times New Roman" w:hAnsi="Times New Roman" w:cs="Times New Roman"/>
          <w:lang w:eastAsia="zh-CN"/>
        </w:rPr>
      </w:pPr>
      <w:bookmarkStart w:id="9" w:name="_Toc4749"/>
      <w:r>
        <w:rPr>
          <w:rFonts w:hint="eastAsia" w:ascii="Times New Roman" w:hAnsi="Times New Roman" w:eastAsia="黑体" w:cs="Times New Roman"/>
          <w:sz w:val="32"/>
          <w:szCs w:val="28"/>
          <w:lang w:val="en-US" w:eastAsia="zh-CN" w:bidi="ar-SA"/>
        </w:rPr>
        <w:t>三、</w:t>
      </w:r>
      <w:r>
        <w:rPr>
          <w:rFonts w:hint="eastAsia" w:ascii="Times New Roman" w:hAnsi="Times New Roman" w:cs="Times New Roman"/>
          <w:lang w:eastAsia="zh-CN"/>
        </w:rPr>
        <w:t>标准</w:t>
      </w:r>
      <w:bookmarkEnd w:id="6"/>
      <w:r>
        <w:rPr>
          <w:rFonts w:hint="eastAsia" w:ascii="Times New Roman" w:hAnsi="Times New Roman" w:cs="Times New Roman"/>
          <w:lang w:eastAsia="zh-CN"/>
        </w:rPr>
        <w:t>框架的确定</w:t>
      </w:r>
      <w:bookmarkEnd w:id="9"/>
    </w:p>
    <w:p w14:paraId="6FD51999">
      <w:pPr>
        <w:pStyle w:val="3"/>
        <w:numPr>
          <w:ilvl w:val="1"/>
          <w:numId w:val="0"/>
        </w:numPr>
        <w:bidi w:val="0"/>
        <w:ind w:left="0" w:leftChars="0" w:firstLine="0" w:firstLineChars="0"/>
      </w:pPr>
      <w:bookmarkStart w:id="10" w:name="_Toc7993749"/>
      <w:bookmarkStart w:id="11" w:name="_Toc6432764"/>
      <w:bookmarkStart w:id="12" w:name="_Toc516221856"/>
      <w:bookmarkStart w:id="13" w:name="_Toc13715"/>
      <w:bookmarkStart w:id="14" w:name="_Toc267645451"/>
      <w:bookmarkStart w:id="15" w:name="_Toc246884250"/>
      <w:bookmarkStart w:id="16" w:name="_Toc273611421"/>
      <w:bookmarkStart w:id="17" w:name="_Toc276747165"/>
      <w:bookmarkStart w:id="18" w:name="_Toc516221859"/>
      <w:bookmarkStart w:id="19" w:name="_Toc267904043"/>
      <w:bookmarkStart w:id="20" w:name="_Toc29715"/>
      <w:bookmarkStart w:id="21" w:name="_Toc315921000"/>
      <w:r>
        <w:rPr>
          <w:rFonts w:hint="eastAsia" w:ascii="Times New Roman" w:hAnsi="Times New Roman" w:cs="Times New Roman"/>
          <w:sz w:val="28"/>
          <w:szCs w:val="21"/>
          <w:lang w:val="en-US" w:eastAsia="zh-CN" w:bidi="ar-SA"/>
        </w:rPr>
        <w:t>3.1</w:t>
      </w:r>
      <w:r>
        <w:t>总体思路</w:t>
      </w:r>
      <w:bookmarkEnd w:id="10"/>
      <w:bookmarkEnd w:id="11"/>
      <w:bookmarkEnd w:id="12"/>
      <w:bookmarkEnd w:id="13"/>
    </w:p>
    <w:p w14:paraId="53AD0EF7">
      <w:pPr>
        <w:adjustRightInd w:val="0"/>
        <w:snapToGrid w:val="0"/>
        <w:spacing w:line="360" w:lineRule="auto"/>
        <w:ind w:firstLine="560"/>
        <w:rPr>
          <w:color w:val="000000"/>
          <w:sz w:val="28"/>
          <w:szCs w:val="28"/>
          <w:lang w:eastAsia="zh-CN"/>
        </w:rPr>
      </w:pPr>
      <w:r>
        <w:rPr>
          <w:sz w:val="28"/>
          <w:szCs w:val="24"/>
          <w:lang w:eastAsia="zh-CN"/>
        </w:rPr>
        <w:t>本文件制定的总体思路是：以现行法律法规及标准规范要求为依据，遵循“</w:t>
      </w:r>
      <w:r>
        <w:rPr>
          <w:rFonts w:hint="eastAsia"/>
          <w:sz w:val="28"/>
          <w:szCs w:val="24"/>
          <w:lang w:eastAsia="zh-CN"/>
        </w:rPr>
        <w:t>标本兼治、安全可靠、经济适用</w:t>
      </w:r>
      <w:r>
        <w:rPr>
          <w:sz w:val="28"/>
          <w:szCs w:val="24"/>
          <w:lang w:eastAsia="zh-CN"/>
        </w:rPr>
        <w:t>”的原则，</w:t>
      </w:r>
      <w:r>
        <w:rPr>
          <w:sz w:val="28"/>
          <w:szCs w:val="28"/>
          <w:lang w:eastAsia="zh-CN"/>
        </w:rPr>
        <w:t>通过对我省</w:t>
      </w:r>
      <w:r>
        <w:rPr>
          <w:rFonts w:hint="eastAsia"/>
          <w:sz w:val="28"/>
          <w:szCs w:val="28"/>
          <w:lang w:eastAsia="zh-CN"/>
        </w:rPr>
        <w:t>湖库</w:t>
      </w:r>
      <w:r>
        <w:rPr>
          <w:rFonts w:hint="eastAsia"/>
          <w:sz w:val="28"/>
          <w:szCs w:val="28"/>
          <w:lang w:val="en-US" w:eastAsia="zh-CN"/>
        </w:rPr>
        <w:t>底质修复</w:t>
      </w:r>
      <w:r>
        <w:rPr>
          <w:sz w:val="28"/>
          <w:szCs w:val="28"/>
          <w:lang w:eastAsia="zh-CN"/>
        </w:rPr>
        <w:t>适用技术的调研，</w:t>
      </w:r>
      <w:r>
        <w:rPr>
          <w:sz w:val="28"/>
          <w:szCs w:val="24"/>
          <w:lang w:eastAsia="zh-CN"/>
        </w:rPr>
        <w:t>在充分总结经验的基础上，根据江西省各地</w:t>
      </w:r>
      <w:r>
        <w:rPr>
          <w:rFonts w:hint="eastAsia"/>
          <w:sz w:val="28"/>
          <w:szCs w:val="28"/>
          <w:lang w:val="en-US" w:eastAsia="zh-CN"/>
        </w:rPr>
        <w:t>底质修复</w:t>
      </w:r>
      <w:r>
        <w:rPr>
          <w:rFonts w:hint="eastAsia"/>
          <w:sz w:val="28"/>
          <w:szCs w:val="24"/>
          <w:lang w:eastAsia="zh-CN"/>
        </w:rPr>
        <w:t>工程实施现状和未来</w:t>
      </w:r>
      <w:r>
        <w:rPr>
          <w:sz w:val="28"/>
          <w:szCs w:val="24"/>
          <w:lang w:eastAsia="zh-CN"/>
        </w:rPr>
        <w:t>需求，通过</w:t>
      </w:r>
      <w:r>
        <w:rPr>
          <w:rFonts w:hint="eastAsia"/>
          <w:sz w:val="28"/>
          <w:szCs w:val="24"/>
          <w:lang w:eastAsia="zh-CN"/>
        </w:rPr>
        <w:t>资料查阅</w:t>
      </w:r>
      <w:r>
        <w:rPr>
          <w:sz w:val="28"/>
          <w:szCs w:val="24"/>
          <w:lang w:eastAsia="zh-CN"/>
        </w:rPr>
        <w:t>、实地调研、专家咨询等多种形式，合理确定</w:t>
      </w:r>
      <w:r>
        <w:rPr>
          <w:rFonts w:hint="eastAsia"/>
          <w:sz w:val="28"/>
          <w:szCs w:val="24"/>
          <w:lang w:eastAsia="zh-CN"/>
        </w:rPr>
        <w:t>指南</w:t>
      </w:r>
      <w:r>
        <w:rPr>
          <w:sz w:val="28"/>
          <w:szCs w:val="24"/>
          <w:lang w:eastAsia="zh-CN"/>
        </w:rPr>
        <w:t>框架结构，准确定位</w:t>
      </w:r>
      <w:r>
        <w:rPr>
          <w:rFonts w:hint="eastAsia"/>
          <w:sz w:val="28"/>
          <w:szCs w:val="24"/>
          <w:lang w:eastAsia="zh-CN"/>
        </w:rPr>
        <w:t>各技术的适用范围、特点及限制因素</w:t>
      </w:r>
      <w:r>
        <w:rPr>
          <w:sz w:val="28"/>
          <w:szCs w:val="24"/>
          <w:lang w:eastAsia="zh-CN"/>
        </w:rPr>
        <w:t>，</w:t>
      </w:r>
      <w:r>
        <w:rPr>
          <w:rFonts w:hint="eastAsia"/>
          <w:color w:val="000000"/>
          <w:sz w:val="28"/>
          <w:szCs w:val="28"/>
          <w:lang w:eastAsia="zh-CN"/>
        </w:rPr>
        <w:t>我省湖库</w:t>
      </w:r>
      <w:r>
        <w:rPr>
          <w:rFonts w:hint="eastAsia"/>
          <w:sz w:val="28"/>
          <w:szCs w:val="28"/>
          <w:lang w:val="en-US" w:eastAsia="zh-CN"/>
        </w:rPr>
        <w:t>底质修复</w:t>
      </w:r>
      <w:r>
        <w:rPr>
          <w:rFonts w:hint="eastAsia"/>
          <w:color w:val="000000"/>
          <w:sz w:val="28"/>
          <w:szCs w:val="28"/>
          <w:lang w:eastAsia="zh-CN"/>
        </w:rPr>
        <w:t>工作</w:t>
      </w:r>
      <w:r>
        <w:rPr>
          <w:color w:val="000000"/>
          <w:sz w:val="28"/>
          <w:szCs w:val="28"/>
          <w:lang w:eastAsia="zh-CN"/>
        </w:rPr>
        <w:t>提供强有力的技术支撑。</w:t>
      </w:r>
    </w:p>
    <w:p w14:paraId="40E27A9E">
      <w:pPr>
        <w:pStyle w:val="3"/>
        <w:keepNext w:val="0"/>
        <w:keepLines w:val="0"/>
        <w:numPr>
          <w:ilvl w:val="1"/>
          <w:numId w:val="0"/>
        </w:numPr>
        <w:adjustRightInd w:val="0"/>
        <w:snapToGrid w:val="0"/>
        <w:spacing w:before="0" w:beforeLines="0" w:after="0" w:afterLines="0" w:line="360" w:lineRule="auto"/>
        <w:ind w:left="0" w:leftChars="0" w:firstLine="0" w:firstLineChars="0"/>
        <w:rPr>
          <w:color w:val="000000"/>
          <w:sz w:val="30"/>
          <w:szCs w:val="30"/>
        </w:rPr>
      </w:pPr>
      <w:bookmarkStart w:id="22" w:name="_Toc6432765"/>
      <w:bookmarkStart w:id="23" w:name="_Toc7993750"/>
      <w:bookmarkStart w:id="24" w:name="_Toc30467"/>
      <w:r>
        <w:rPr>
          <w:rFonts w:hint="eastAsia"/>
          <w:color w:val="000000"/>
          <w:sz w:val="30"/>
          <w:szCs w:val="30"/>
          <w:lang w:val="en-US" w:eastAsia="zh-CN"/>
        </w:rPr>
        <w:t>3.2</w:t>
      </w:r>
      <w:r>
        <w:rPr>
          <w:color w:val="000000"/>
          <w:sz w:val="30"/>
          <w:szCs w:val="30"/>
        </w:rPr>
        <w:t>编制依据</w:t>
      </w:r>
      <w:bookmarkEnd w:id="14"/>
      <w:bookmarkEnd w:id="15"/>
      <w:bookmarkEnd w:id="16"/>
      <w:bookmarkEnd w:id="17"/>
      <w:bookmarkEnd w:id="18"/>
      <w:bookmarkEnd w:id="19"/>
      <w:bookmarkEnd w:id="20"/>
      <w:bookmarkEnd w:id="21"/>
      <w:bookmarkEnd w:id="22"/>
      <w:bookmarkEnd w:id="23"/>
      <w:bookmarkEnd w:id="24"/>
    </w:p>
    <w:p w14:paraId="4CC09176">
      <w:pPr>
        <w:adjustRightInd w:val="0"/>
        <w:snapToGrid w:val="0"/>
        <w:spacing w:line="360" w:lineRule="auto"/>
        <w:ind w:firstLine="560"/>
        <w:rPr>
          <w:sz w:val="28"/>
          <w:szCs w:val="24"/>
          <w:lang w:eastAsia="zh-CN"/>
        </w:rPr>
      </w:pPr>
      <w:r>
        <w:rPr>
          <w:rFonts w:hint="eastAsia"/>
          <w:sz w:val="28"/>
          <w:szCs w:val="24"/>
          <w:lang w:eastAsia="zh-CN"/>
        </w:rPr>
        <w:t>本系列指南的制定参考借鉴了《土壤环境质量 农用地土壤污染风险管控标准（试行）》（GB 15618）、《土壤环境质量 建设用地土壤污染风险管控标准（试行）》（GB 36600）等国家标准。</w:t>
      </w:r>
    </w:p>
    <w:p w14:paraId="7DDB5954">
      <w:pPr>
        <w:adjustRightInd w:val="0"/>
        <w:snapToGrid w:val="0"/>
        <w:spacing w:line="360" w:lineRule="auto"/>
        <w:ind w:firstLine="560"/>
        <w:rPr>
          <w:sz w:val="28"/>
          <w:szCs w:val="24"/>
          <w:lang w:eastAsia="zh-CN"/>
        </w:rPr>
      </w:pPr>
      <w:r>
        <w:rPr>
          <w:rFonts w:hint="eastAsia"/>
          <w:sz w:val="28"/>
          <w:szCs w:val="24"/>
          <w:lang w:eastAsia="zh-CN"/>
        </w:rPr>
        <w:t>参考借鉴了《地表水和污水监测技术规范》（HJ/T 91）、《土壤环境监测技术规范》（HJ/T 166）、《生态环境状况评价技术规范》（HJ/T 192）、《固体废物 浸出毒性浸出方法 硫酸硝酸法》（HJ/T 299）、《固体废物 浸出毒性浸出方法 醋酸缓冲溶液法》（HJ/T 300）、《湖泊河流环保疏浚工程技术指南（试行）》（环办〔2014〕111号）等行业标准</w:t>
      </w:r>
      <w:r>
        <w:rPr>
          <w:rFonts w:hint="eastAsia"/>
          <w:sz w:val="28"/>
          <w:szCs w:val="24"/>
          <w:lang w:val="en-US" w:eastAsia="zh-CN"/>
        </w:rPr>
        <w:t>和</w:t>
      </w:r>
      <w:r>
        <w:rPr>
          <w:rFonts w:hint="eastAsia"/>
          <w:sz w:val="28"/>
          <w:szCs w:val="24"/>
          <w:lang w:eastAsia="zh-CN"/>
        </w:rPr>
        <w:t>部委指南，</w:t>
      </w:r>
      <w:r>
        <w:rPr>
          <w:sz w:val="28"/>
          <w:szCs w:val="24"/>
          <w:lang w:eastAsia="zh-CN"/>
        </w:rPr>
        <w:t>吸取了各</w:t>
      </w:r>
      <w:r>
        <w:rPr>
          <w:rFonts w:hint="eastAsia"/>
          <w:sz w:val="28"/>
          <w:szCs w:val="24"/>
          <w:lang w:eastAsia="zh-CN"/>
        </w:rPr>
        <w:t>方面</w:t>
      </w:r>
      <w:r>
        <w:rPr>
          <w:sz w:val="28"/>
          <w:szCs w:val="24"/>
          <w:lang w:eastAsia="zh-CN"/>
        </w:rPr>
        <w:t>的优秀经验做法。</w:t>
      </w:r>
    </w:p>
    <w:p w14:paraId="4AC177E5">
      <w:pPr>
        <w:pStyle w:val="3"/>
        <w:keepNext w:val="0"/>
        <w:keepLines w:val="0"/>
        <w:numPr>
          <w:ilvl w:val="1"/>
          <w:numId w:val="0"/>
        </w:numPr>
        <w:adjustRightInd w:val="0"/>
        <w:snapToGrid w:val="0"/>
        <w:spacing w:before="0" w:beforeLines="0" w:after="0" w:afterLines="0" w:line="360" w:lineRule="auto"/>
        <w:ind w:left="0" w:leftChars="0" w:firstLine="0" w:firstLineChars="0"/>
        <w:rPr>
          <w:color w:val="000000"/>
          <w:sz w:val="30"/>
          <w:szCs w:val="30"/>
        </w:rPr>
      </w:pPr>
      <w:bookmarkStart w:id="25" w:name="_Toc27143"/>
      <w:bookmarkStart w:id="26" w:name="_Toc6432766"/>
      <w:bookmarkStart w:id="27" w:name="_Toc6795"/>
      <w:bookmarkStart w:id="28" w:name="_Toc515275978"/>
      <w:bookmarkStart w:id="29" w:name="_Toc7993751"/>
      <w:bookmarkStart w:id="30" w:name="_Toc23665"/>
      <w:bookmarkStart w:id="31" w:name="_Toc7131"/>
      <w:r>
        <w:rPr>
          <w:rFonts w:hint="eastAsia"/>
          <w:color w:val="000000"/>
          <w:sz w:val="30"/>
          <w:szCs w:val="30"/>
          <w:lang w:val="en-US" w:eastAsia="zh-CN"/>
        </w:rPr>
        <w:t>3.3</w:t>
      </w:r>
      <w:r>
        <w:rPr>
          <w:color w:val="000000"/>
          <w:sz w:val="30"/>
          <w:szCs w:val="30"/>
        </w:rPr>
        <w:t>编制原则</w:t>
      </w:r>
      <w:bookmarkEnd w:id="25"/>
      <w:bookmarkEnd w:id="26"/>
      <w:bookmarkEnd w:id="27"/>
      <w:bookmarkEnd w:id="28"/>
      <w:bookmarkEnd w:id="29"/>
      <w:bookmarkEnd w:id="30"/>
      <w:bookmarkEnd w:id="31"/>
    </w:p>
    <w:p w14:paraId="4794558F">
      <w:pPr>
        <w:adjustRightInd w:val="0"/>
        <w:snapToGrid w:val="0"/>
        <w:spacing w:line="360" w:lineRule="auto"/>
        <w:ind w:firstLine="560"/>
        <w:rPr>
          <w:sz w:val="28"/>
          <w:szCs w:val="28"/>
          <w:lang w:eastAsia="zh-CN"/>
        </w:rPr>
      </w:pPr>
      <w:bookmarkStart w:id="32" w:name="_Toc820"/>
      <w:bookmarkStart w:id="33" w:name="_Hlk535521398"/>
      <w:bookmarkStart w:id="34" w:name="_Toc26924"/>
      <w:bookmarkStart w:id="35" w:name="_Toc14041"/>
      <w:r>
        <w:rPr>
          <w:sz w:val="28"/>
          <w:szCs w:val="28"/>
          <w:lang w:eastAsia="zh-CN"/>
        </w:rPr>
        <w:t>本文件编制坚持</w:t>
      </w:r>
      <w:r>
        <w:rPr>
          <w:rFonts w:hint="eastAsia"/>
          <w:sz w:val="28"/>
          <w:szCs w:val="28"/>
          <w:lang w:eastAsia="zh-CN"/>
        </w:rPr>
        <w:t>、安全可靠、经济适用</w:t>
      </w:r>
      <w:r>
        <w:rPr>
          <w:sz w:val="28"/>
          <w:szCs w:val="28"/>
          <w:lang w:eastAsia="zh-CN"/>
        </w:rPr>
        <w:t>等原则。</w:t>
      </w:r>
    </w:p>
    <w:p w14:paraId="09220BF0">
      <w:pPr>
        <w:adjustRightInd w:val="0"/>
        <w:snapToGrid w:val="0"/>
        <w:spacing w:line="360" w:lineRule="auto"/>
        <w:ind w:firstLine="560"/>
        <w:rPr>
          <w:sz w:val="28"/>
          <w:szCs w:val="28"/>
          <w:lang w:eastAsia="zh-CN"/>
        </w:rPr>
      </w:pPr>
      <w:r>
        <w:rPr>
          <w:sz w:val="28"/>
          <w:szCs w:val="28"/>
          <w:lang w:eastAsia="zh-CN"/>
        </w:rPr>
        <w:t>（1）</w:t>
      </w:r>
      <w:r>
        <w:rPr>
          <w:rFonts w:hint="eastAsia"/>
          <w:sz w:val="28"/>
          <w:szCs w:val="28"/>
          <w:lang w:eastAsia="zh-CN"/>
        </w:rPr>
        <w:t>标本兼治</w:t>
      </w:r>
    </w:p>
    <w:p w14:paraId="6F6B13A7">
      <w:pPr>
        <w:adjustRightInd w:val="0"/>
        <w:snapToGrid w:val="0"/>
        <w:spacing w:line="360" w:lineRule="auto"/>
        <w:ind w:firstLine="560"/>
        <w:rPr>
          <w:sz w:val="28"/>
          <w:szCs w:val="28"/>
          <w:lang w:eastAsia="zh-CN"/>
        </w:rPr>
      </w:pPr>
      <w:r>
        <w:rPr>
          <w:rFonts w:hint="eastAsia"/>
          <w:sz w:val="28"/>
          <w:szCs w:val="28"/>
          <w:lang w:eastAsia="zh-CN"/>
        </w:rPr>
        <w:t>指南</w:t>
      </w:r>
      <w:r>
        <w:rPr>
          <w:sz w:val="28"/>
          <w:szCs w:val="28"/>
          <w:lang w:eastAsia="zh-CN"/>
        </w:rPr>
        <w:t>规定了</w:t>
      </w:r>
      <w:r>
        <w:rPr>
          <w:rFonts w:hint="eastAsia"/>
          <w:sz w:val="28"/>
          <w:szCs w:val="28"/>
          <w:lang w:val="en-US" w:eastAsia="zh-CN"/>
        </w:rPr>
        <w:t>底质修复</w:t>
      </w:r>
      <w:r>
        <w:rPr>
          <w:sz w:val="28"/>
          <w:szCs w:val="28"/>
          <w:lang w:eastAsia="zh-CN"/>
        </w:rPr>
        <w:t>方面的技术要求</w:t>
      </w:r>
      <w:r>
        <w:rPr>
          <w:rFonts w:hint="eastAsia"/>
          <w:sz w:val="28"/>
          <w:szCs w:val="28"/>
          <w:lang w:eastAsia="zh-CN"/>
        </w:rPr>
        <w:t>，</w:t>
      </w:r>
      <w:r>
        <w:rPr>
          <w:sz w:val="28"/>
          <w:szCs w:val="28"/>
          <w:lang w:eastAsia="zh-CN"/>
        </w:rPr>
        <w:t>从</w:t>
      </w:r>
      <w:r>
        <w:rPr>
          <w:rFonts w:hint="eastAsia"/>
          <w:sz w:val="28"/>
          <w:szCs w:val="28"/>
          <w:lang w:eastAsia="zh-CN"/>
        </w:rPr>
        <w:t>湖库</w:t>
      </w:r>
      <w:r>
        <w:rPr>
          <w:rFonts w:hint="eastAsia"/>
          <w:sz w:val="28"/>
          <w:szCs w:val="28"/>
          <w:lang w:val="en-US" w:eastAsia="zh-CN"/>
        </w:rPr>
        <w:t>底质修复</w:t>
      </w:r>
      <w:r>
        <w:rPr>
          <w:sz w:val="28"/>
          <w:szCs w:val="28"/>
          <w:lang w:eastAsia="zh-CN"/>
        </w:rPr>
        <w:t>整体视角综合考虑</w:t>
      </w:r>
      <w:r>
        <w:rPr>
          <w:rFonts w:hint="eastAsia"/>
          <w:sz w:val="28"/>
          <w:szCs w:val="28"/>
          <w:lang w:eastAsia="zh-CN"/>
        </w:rPr>
        <w:t>标本兼治</w:t>
      </w:r>
      <w:r>
        <w:rPr>
          <w:sz w:val="28"/>
          <w:szCs w:val="28"/>
          <w:lang w:eastAsia="zh-CN"/>
        </w:rPr>
        <w:t>。</w:t>
      </w:r>
    </w:p>
    <w:p w14:paraId="05A7C602">
      <w:pPr>
        <w:adjustRightInd w:val="0"/>
        <w:snapToGrid w:val="0"/>
        <w:spacing w:line="360" w:lineRule="auto"/>
        <w:ind w:firstLine="560"/>
        <w:rPr>
          <w:sz w:val="28"/>
          <w:szCs w:val="28"/>
          <w:lang w:eastAsia="zh-CN"/>
        </w:rPr>
      </w:pPr>
      <w:r>
        <w:rPr>
          <w:sz w:val="28"/>
          <w:szCs w:val="28"/>
          <w:lang w:eastAsia="zh-CN"/>
        </w:rPr>
        <w:t>（2）</w:t>
      </w:r>
      <w:r>
        <w:rPr>
          <w:rFonts w:hint="eastAsia"/>
          <w:sz w:val="28"/>
          <w:szCs w:val="28"/>
          <w:lang w:eastAsia="zh-CN"/>
        </w:rPr>
        <w:t>安全可靠</w:t>
      </w:r>
    </w:p>
    <w:p w14:paraId="1BE2B276">
      <w:pPr>
        <w:adjustRightInd w:val="0"/>
        <w:snapToGrid w:val="0"/>
        <w:spacing w:line="360" w:lineRule="auto"/>
        <w:ind w:firstLine="560"/>
        <w:rPr>
          <w:sz w:val="28"/>
          <w:szCs w:val="28"/>
          <w:lang w:eastAsia="zh-CN"/>
        </w:rPr>
      </w:pPr>
      <w:r>
        <w:rPr>
          <w:sz w:val="28"/>
          <w:szCs w:val="28"/>
          <w:lang w:eastAsia="zh-CN"/>
        </w:rPr>
        <w:t>针对江西省</w:t>
      </w:r>
      <w:r>
        <w:rPr>
          <w:rFonts w:hint="eastAsia"/>
          <w:sz w:val="28"/>
          <w:szCs w:val="28"/>
          <w:lang w:eastAsia="zh-CN"/>
        </w:rPr>
        <w:t>水域</w:t>
      </w:r>
      <w:r>
        <w:rPr>
          <w:sz w:val="28"/>
          <w:szCs w:val="28"/>
          <w:lang w:eastAsia="zh-CN"/>
        </w:rPr>
        <w:t>特点</w:t>
      </w:r>
      <w:r>
        <w:rPr>
          <w:rFonts w:hint="eastAsia"/>
          <w:sz w:val="28"/>
          <w:szCs w:val="28"/>
          <w:lang w:eastAsia="zh-CN"/>
        </w:rPr>
        <w:t>和生态安全</w:t>
      </w:r>
      <w:r>
        <w:rPr>
          <w:sz w:val="28"/>
          <w:szCs w:val="28"/>
          <w:lang w:eastAsia="zh-CN"/>
        </w:rPr>
        <w:t>，提出</w:t>
      </w:r>
      <w:r>
        <w:rPr>
          <w:rFonts w:hint="eastAsia"/>
          <w:sz w:val="28"/>
          <w:szCs w:val="28"/>
          <w:lang w:eastAsia="zh-CN"/>
        </w:rPr>
        <w:t>安全可靠</w:t>
      </w:r>
      <w:r>
        <w:rPr>
          <w:sz w:val="28"/>
          <w:szCs w:val="28"/>
          <w:lang w:eastAsia="zh-CN"/>
        </w:rPr>
        <w:t>的技术</w:t>
      </w:r>
      <w:r>
        <w:rPr>
          <w:rFonts w:hint="eastAsia"/>
          <w:sz w:val="28"/>
          <w:szCs w:val="28"/>
          <w:lang w:eastAsia="zh-CN"/>
        </w:rPr>
        <w:t>措施</w:t>
      </w:r>
      <w:r>
        <w:rPr>
          <w:sz w:val="28"/>
          <w:szCs w:val="28"/>
          <w:lang w:eastAsia="zh-CN"/>
        </w:rPr>
        <w:t>。</w:t>
      </w:r>
    </w:p>
    <w:p w14:paraId="0BE91A59">
      <w:pPr>
        <w:adjustRightInd w:val="0"/>
        <w:snapToGrid w:val="0"/>
        <w:spacing w:line="360" w:lineRule="auto"/>
        <w:ind w:firstLine="560"/>
        <w:rPr>
          <w:sz w:val="28"/>
          <w:szCs w:val="28"/>
          <w:lang w:eastAsia="zh-CN"/>
        </w:rPr>
      </w:pPr>
      <w:r>
        <w:rPr>
          <w:sz w:val="28"/>
          <w:szCs w:val="28"/>
          <w:lang w:eastAsia="zh-CN"/>
        </w:rPr>
        <w:t>（3）</w:t>
      </w:r>
      <w:r>
        <w:rPr>
          <w:rFonts w:hint="eastAsia"/>
          <w:sz w:val="28"/>
          <w:szCs w:val="28"/>
          <w:lang w:eastAsia="zh-CN"/>
        </w:rPr>
        <w:t>经济适用</w:t>
      </w:r>
    </w:p>
    <w:p w14:paraId="36E26980">
      <w:pPr>
        <w:adjustRightInd w:val="0"/>
        <w:snapToGrid w:val="0"/>
        <w:spacing w:line="360" w:lineRule="auto"/>
        <w:ind w:firstLine="560"/>
        <w:rPr>
          <w:sz w:val="28"/>
          <w:szCs w:val="28"/>
          <w:lang w:eastAsia="zh-CN"/>
        </w:rPr>
      </w:pPr>
      <w:r>
        <w:rPr>
          <w:sz w:val="28"/>
          <w:szCs w:val="28"/>
          <w:lang w:eastAsia="zh-CN"/>
        </w:rPr>
        <w:t>将以当前及未来一定时间内江西省的</w:t>
      </w:r>
      <w:r>
        <w:rPr>
          <w:rFonts w:hint="eastAsia"/>
          <w:sz w:val="28"/>
          <w:szCs w:val="28"/>
          <w:lang w:val="en-US" w:eastAsia="zh-CN"/>
        </w:rPr>
        <w:t>底质修复</w:t>
      </w:r>
      <w:r>
        <w:rPr>
          <w:sz w:val="28"/>
          <w:szCs w:val="28"/>
          <w:lang w:eastAsia="zh-CN"/>
        </w:rPr>
        <w:t>需求为基础，充分考虑现阶段</w:t>
      </w:r>
      <w:r>
        <w:rPr>
          <w:rFonts w:hint="eastAsia"/>
          <w:sz w:val="28"/>
          <w:szCs w:val="28"/>
          <w:lang w:eastAsia="zh-CN"/>
        </w:rPr>
        <w:t>地方经济和修复</w:t>
      </w:r>
      <w:r>
        <w:rPr>
          <w:sz w:val="28"/>
          <w:szCs w:val="28"/>
          <w:lang w:eastAsia="zh-CN"/>
        </w:rPr>
        <w:t>技术发展水平，提出</w:t>
      </w:r>
      <w:r>
        <w:rPr>
          <w:rFonts w:hint="eastAsia"/>
          <w:sz w:val="28"/>
          <w:szCs w:val="28"/>
          <w:lang w:eastAsia="zh-CN"/>
        </w:rPr>
        <w:t>经济适用的</w:t>
      </w:r>
      <w:r>
        <w:rPr>
          <w:sz w:val="28"/>
          <w:szCs w:val="28"/>
          <w:lang w:eastAsia="zh-CN"/>
        </w:rPr>
        <w:t>技术。</w:t>
      </w:r>
      <w:bookmarkStart w:id="36" w:name="_Hlk95465884"/>
    </w:p>
    <w:bookmarkEnd w:id="32"/>
    <w:bookmarkEnd w:id="33"/>
    <w:bookmarkEnd w:id="34"/>
    <w:bookmarkEnd w:id="35"/>
    <w:bookmarkEnd w:id="36"/>
    <w:p w14:paraId="77397BA1">
      <w:pPr>
        <w:pStyle w:val="2"/>
        <w:numPr>
          <w:ilvl w:val="0"/>
          <w:numId w:val="0"/>
        </w:numPr>
        <w:bidi w:val="0"/>
        <w:ind w:left="0" w:leftChars="0" w:firstLine="0" w:firstLineChars="0"/>
        <w:rPr>
          <w:rFonts w:hint="eastAsia" w:ascii="Times New Roman" w:hAnsi="Times New Roman" w:cs="Times New Roman"/>
          <w:lang w:eastAsia="zh-CN"/>
        </w:rPr>
      </w:pPr>
      <w:bookmarkStart w:id="37" w:name="_Toc30666"/>
      <w:r>
        <w:rPr>
          <w:rFonts w:hint="eastAsia" w:ascii="Times New Roman" w:hAnsi="Times New Roman" w:eastAsia="黑体" w:cs="Times New Roman"/>
          <w:sz w:val="32"/>
          <w:szCs w:val="28"/>
          <w:lang w:val="en-US" w:eastAsia="zh-CN" w:bidi="ar-SA"/>
        </w:rPr>
        <w:t>四、</w:t>
      </w:r>
      <w:r>
        <w:rPr>
          <w:rFonts w:hint="eastAsia" w:ascii="Times New Roman" w:hAnsi="Times New Roman" w:cs="Times New Roman"/>
          <w:lang w:eastAsia="zh-CN"/>
        </w:rPr>
        <w:t>标准编制过程</w:t>
      </w:r>
      <w:bookmarkEnd w:id="37"/>
    </w:p>
    <w:p w14:paraId="7B9D8E31">
      <w:pPr>
        <w:adjustRightInd w:val="0"/>
        <w:snapToGrid w:val="0"/>
        <w:spacing w:line="360" w:lineRule="auto"/>
        <w:ind w:firstLine="560"/>
        <w:rPr>
          <w:color w:val="000000"/>
          <w:sz w:val="28"/>
          <w:szCs w:val="24"/>
          <w:lang w:eastAsia="zh-CN"/>
        </w:rPr>
      </w:pPr>
      <w:bookmarkStart w:id="38" w:name="3.1_国家及环保主管部门的相关要求"/>
      <w:bookmarkEnd w:id="38"/>
      <w:bookmarkStart w:id="39" w:name="4_行业产排污情况及污染控制技术分析"/>
      <w:bookmarkEnd w:id="39"/>
      <w:r>
        <w:rPr>
          <w:color w:val="000000"/>
          <w:sz w:val="28"/>
          <w:szCs w:val="24"/>
          <w:lang w:eastAsia="zh-CN"/>
        </w:rPr>
        <w:t>本</w:t>
      </w:r>
      <w:r>
        <w:rPr>
          <w:rFonts w:hint="eastAsia"/>
          <w:color w:val="000000"/>
          <w:sz w:val="28"/>
          <w:szCs w:val="24"/>
          <w:lang w:val="en-US" w:eastAsia="zh-CN"/>
        </w:rPr>
        <w:t>标准</w:t>
      </w:r>
      <w:r>
        <w:rPr>
          <w:color w:val="000000"/>
          <w:sz w:val="28"/>
          <w:szCs w:val="24"/>
          <w:lang w:eastAsia="zh-CN"/>
        </w:rPr>
        <w:t>编制主要采取政策制度分析、文献调研、案例分析、专家咨询和吸收公众意见等方法。首先进行资料分析，包括政策制度分析、文献调研、案例分析等，研究</w:t>
      </w:r>
      <w:r>
        <w:rPr>
          <w:rFonts w:hint="eastAsia"/>
          <w:color w:val="000000"/>
          <w:sz w:val="28"/>
          <w:szCs w:val="24"/>
          <w:lang w:eastAsia="zh-CN"/>
        </w:rPr>
        <w:t>标准</w:t>
      </w:r>
      <w:r>
        <w:rPr>
          <w:color w:val="000000"/>
          <w:sz w:val="28"/>
          <w:szCs w:val="24"/>
          <w:lang w:eastAsia="zh-CN"/>
        </w:rPr>
        <w:t>编制的必要性、编制要求、规范的主要内容等。通过资料分析，得出</w:t>
      </w:r>
      <w:r>
        <w:rPr>
          <w:rFonts w:hint="eastAsia"/>
          <w:color w:val="000000"/>
          <w:sz w:val="28"/>
          <w:szCs w:val="24"/>
          <w:lang w:eastAsia="zh-CN"/>
        </w:rPr>
        <w:t>标准</w:t>
      </w:r>
      <w:r>
        <w:rPr>
          <w:color w:val="000000"/>
          <w:sz w:val="28"/>
          <w:szCs w:val="24"/>
          <w:lang w:eastAsia="zh-CN"/>
        </w:rPr>
        <w:t>编制的重点。其次，撰写初稿文本，并依据情况，开展多轮的咨询论证，收集</w:t>
      </w:r>
      <w:r>
        <w:rPr>
          <w:rFonts w:hint="eastAsia"/>
          <w:color w:val="000000"/>
          <w:sz w:val="28"/>
          <w:szCs w:val="24"/>
          <w:lang w:eastAsia="zh-CN"/>
        </w:rPr>
        <w:t>科研院所</w:t>
      </w:r>
      <w:r>
        <w:rPr>
          <w:color w:val="000000"/>
          <w:sz w:val="28"/>
          <w:szCs w:val="24"/>
          <w:lang w:eastAsia="zh-CN"/>
        </w:rPr>
        <w:t>、高等院校等意见，不断修改和完善</w:t>
      </w:r>
      <w:r>
        <w:rPr>
          <w:rFonts w:hint="eastAsia"/>
          <w:color w:val="000000"/>
          <w:sz w:val="28"/>
          <w:szCs w:val="24"/>
          <w:lang w:eastAsia="zh-CN"/>
        </w:rPr>
        <w:t>标准</w:t>
      </w:r>
      <w:r>
        <w:rPr>
          <w:color w:val="000000"/>
          <w:sz w:val="28"/>
          <w:szCs w:val="24"/>
          <w:lang w:eastAsia="zh-CN"/>
        </w:rPr>
        <w:t>文本。然后，在</w:t>
      </w:r>
      <w:r>
        <w:rPr>
          <w:rFonts w:hint="eastAsia"/>
          <w:color w:val="000000"/>
          <w:sz w:val="28"/>
          <w:szCs w:val="24"/>
          <w:lang w:eastAsia="zh-CN"/>
        </w:rPr>
        <w:t>标准</w:t>
      </w:r>
      <w:r>
        <w:rPr>
          <w:color w:val="000000"/>
          <w:sz w:val="28"/>
          <w:szCs w:val="24"/>
          <w:lang w:eastAsia="zh-CN"/>
        </w:rPr>
        <w:t>修订稿成熟后，通过正式的程序，向社会公开征求意见。在吸收公开意见的基础上，再次修改和完善</w:t>
      </w:r>
      <w:r>
        <w:rPr>
          <w:rFonts w:hint="eastAsia"/>
          <w:color w:val="000000"/>
          <w:sz w:val="28"/>
          <w:szCs w:val="24"/>
          <w:lang w:eastAsia="zh-CN"/>
        </w:rPr>
        <w:t>标准</w:t>
      </w:r>
      <w:r>
        <w:rPr>
          <w:color w:val="000000"/>
          <w:sz w:val="28"/>
          <w:szCs w:val="24"/>
          <w:lang w:eastAsia="zh-CN"/>
        </w:rPr>
        <w:t>。</w:t>
      </w:r>
    </w:p>
    <w:p w14:paraId="41A357B5">
      <w:pPr>
        <w:adjustRightInd w:val="0"/>
        <w:snapToGrid w:val="0"/>
        <w:spacing w:line="360" w:lineRule="auto"/>
        <w:ind w:firstLine="560"/>
        <w:rPr>
          <w:sz w:val="22"/>
          <w:szCs w:val="24"/>
          <w:lang w:eastAsia="zh-CN"/>
        </w:rPr>
      </w:pPr>
      <w:r>
        <w:rPr>
          <w:sz w:val="28"/>
          <w:szCs w:val="24"/>
          <w:lang w:eastAsia="zh-CN"/>
        </w:rPr>
        <w:t>标准编制的主要工作过程及具体工作内容等如下表所示：</w:t>
      </w:r>
    </w:p>
    <w:p w14:paraId="600F14CF">
      <w:pPr>
        <w:adjustRightInd w:val="0"/>
        <w:snapToGrid w:val="0"/>
        <w:spacing w:line="360" w:lineRule="auto"/>
        <w:ind w:firstLine="0" w:firstLineChars="0"/>
        <w:jc w:val="center"/>
        <w:rPr>
          <w:szCs w:val="32"/>
        </w:rPr>
      </w:pPr>
      <w:r>
        <w:rPr>
          <w:szCs w:val="32"/>
        </w:rPr>
        <w:t>表1 标准编制计划安排</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826"/>
        <w:gridCol w:w="5293"/>
      </w:tblGrid>
      <w:tr w14:paraId="4C4F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blHeader/>
          <w:jc w:val="center"/>
        </w:trPr>
        <w:tc>
          <w:tcPr>
            <w:tcW w:w="823" w:type="pct"/>
            <w:vAlign w:val="center"/>
          </w:tcPr>
          <w:p w14:paraId="6E88AF60">
            <w:pPr>
              <w:adjustRightInd w:val="0"/>
              <w:snapToGrid w:val="0"/>
              <w:spacing w:line="240" w:lineRule="auto"/>
              <w:ind w:firstLine="0" w:firstLineChars="0"/>
              <w:jc w:val="center"/>
              <w:rPr>
                <w:b/>
                <w:szCs w:val="24"/>
              </w:rPr>
            </w:pPr>
            <w:r>
              <w:rPr>
                <w:b/>
                <w:szCs w:val="24"/>
              </w:rPr>
              <w:t>时间节点</w:t>
            </w:r>
          </w:p>
        </w:tc>
        <w:tc>
          <w:tcPr>
            <w:tcW w:w="1071" w:type="pct"/>
            <w:vAlign w:val="center"/>
          </w:tcPr>
          <w:p w14:paraId="54551063">
            <w:pPr>
              <w:adjustRightInd w:val="0"/>
              <w:snapToGrid w:val="0"/>
              <w:spacing w:line="240" w:lineRule="auto"/>
              <w:ind w:firstLine="0" w:firstLineChars="0"/>
              <w:jc w:val="center"/>
              <w:rPr>
                <w:b/>
                <w:szCs w:val="24"/>
              </w:rPr>
            </w:pPr>
            <w:r>
              <w:rPr>
                <w:b/>
                <w:szCs w:val="24"/>
              </w:rPr>
              <w:t>阶段工作</w:t>
            </w:r>
          </w:p>
        </w:tc>
        <w:tc>
          <w:tcPr>
            <w:tcW w:w="3105" w:type="pct"/>
            <w:vAlign w:val="center"/>
          </w:tcPr>
          <w:p w14:paraId="22DDDE6E">
            <w:pPr>
              <w:adjustRightInd w:val="0"/>
              <w:snapToGrid w:val="0"/>
              <w:spacing w:line="240" w:lineRule="auto"/>
              <w:ind w:firstLine="0" w:firstLineChars="0"/>
              <w:jc w:val="center"/>
              <w:rPr>
                <w:b/>
                <w:szCs w:val="24"/>
              </w:rPr>
            </w:pPr>
            <w:r>
              <w:rPr>
                <w:b/>
                <w:szCs w:val="24"/>
              </w:rPr>
              <w:t>具体工作内容</w:t>
            </w:r>
          </w:p>
        </w:tc>
      </w:tr>
      <w:tr w14:paraId="33E9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474B7B64">
            <w:pPr>
              <w:adjustRightInd w:val="0"/>
              <w:snapToGrid w:val="0"/>
              <w:spacing w:line="240" w:lineRule="auto"/>
              <w:ind w:firstLine="0" w:firstLineChars="0"/>
              <w:jc w:val="center"/>
              <w:rPr>
                <w:szCs w:val="24"/>
              </w:rPr>
            </w:pPr>
            <w:r>
              <w:rPr>
                <w:szCs w:val="24"/>
              </w:rPr>
              <w:t>2021.10</w:t>
            </w:r>
          </w:p>
        </w:tc>
        <w:tc>
          <w:tcPr>
            <w:tcW w:w="1071" w:type="pct"/>
            <w:vAlign w:val="center"/>
          </w:tcPr>
          <w:p w14:paraId="3D6DAD61">
            <w:pPr>
              <w:adjustRightInd w:val="0"/>
              <w:snapToGrid w:val="0"/>
              <w:spacing w:line="240" w:lineRule="auto"/>
              <w:ind w:firstLine="0" w:firstLineChars="0"/>
              <w:jc w:val="center"/>
              <w:rPr>
                <w:szCs w:val="24"/>
              </w:rPr>
            </w:pPr>
            <w:r>
              <w:rPr>
                <w:szCs w:val="24"/>
              </w:rPr>
              <w:t>申请立项</w:t>
            </w:r>
          </w:p>
        </w:tc>
        <w:tc>
          <w:tcPr>
            <w:tcW w:w="3105" w:type="pct"/>
            <w:vAlign w:val="center"/>
          </w:tcPr>
          <w:p w14:paraId="7D7E39F2">
            <w:pPr>
              <w:adjustRightInd w:val="0"/>
              <w:snapToGrid w:val="0"/>
              <w:spacing w:line="240" w:lineRule="auto"/>
              <w:ind w:firstLine="0" w:firstLineChars="0"/>
              <w:rPr>
                <w:szCs w:val="24"/>
                <w:lang w:eastAsia="zh-CN"/>
              </w:rPr>
            </w:pPr>
            <w:r>
              <w:rPr>
                <w:szCs w:val="24"/>
                <w:lang w:eastAsia="zh-CN"/>
              </w:rPr>
              <w:t>提交地方标准项目建议书和草案。</w:t>
            </w:r>
          </w:p>
        </w:tc>
      </w:tr>
      <w:tr w14:paraId="751C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1CC34C1B">
            <w:pPr>
              <w:adjustRightInd w:val="0"/>
              <w:snapToGrid w:val="0"/>
              <w:spacing w:line="240" w:lineRule="auto"/>
              <w:ind w:firstLine="0" w:firstLineChars="0"/>
              <w:jc w:val="center"/>
              <w:rPr>
                <w:szCs w:val="24"/>
              </w:rPr>
            </w:pPr>
            <w:r>
              <w:rPr>
                <w:szCs w:val="24"/>
              </w:rPr>
              <w:t>20</w:t>
            </w:r>
            <w:r>
              <w:rPr>
                <w:szCs w:val="24"/>
                <w:lang w:eastAsia="zh-CN"/>
              </w:rPr>
              <w:t>22</w:t>
            </w:r>
            <w:r>
              <w:rPr>
                <w:szCs w:val="24"/>
              </w:rPr>
              <w:t>.</w:t>
            </w:r>
            <w:r>
              <w:rPr>
                <w:rFonts w:hint="eastAsia"/>
                <w:szCs w:val="24"/>
                <w:lang w:val="en-US" w:eastAsia="zh-CN"/>
              </w:rPr>
              <w:t>04</w:t>
            </w:r>
          </w:p>
        </w:tc>
        <w:tc>
          <w:tcPr>
            <w:tcW w:w="1071" w:type="pct"/>
            <w:vAlign w:val="center"/>
          </w:tcPr>
          <w:p w14:paraId="0551A36B">
            <w:pPr>
              <w:adjustRightInd w:val="0"/>
              <w:snapToGrid w:val="0"/>
              <w:spacing w:line="240" w:lineRule="auto"/>
              <w:ind w:firstLine="0" w:firstLineChars="0"/>
              <w:jc w:val="center"/>
              <w:rPr>
                <w:szCs w:val="24"/>
              </w:rPr>
            </w:pPr>
            <w:r>
              <w:rPr>
                <w:szCs w:val="24"/>
              </w:rPr>
              <w:t>立项下达</w:t>
            </w:r>
          </w:p>
        </w:tc>
        <w:tc>
          <w:tcPr>
            <w:tcW w:w="3105" w:type="pct"/>
            <w:vAlign w:val="center"/>
          </w:tcPr>
          <w:p w14:paraId="620C4C94">
            <w:pPr>
              <w:adjustRightInd w:val="0"/>
              <w:snapToGrid w:val="0"/>
              <w:spacing w:line="240" w:lineRule="auto"/>
              <w:ind w:firstLine="0" w:firstLineChars="0"/>
              <w:rPr>
                <w:szCs w:val="24"/>
              </w:rPr>
            </w:pPr>
            <w:r>
              <w:rPr>
                <w:rFonts w:hint="eastAsia"/>
                <w:szCs w:val="24"/>
                <w:lang w:eastAsia="zh-CN"/>
              </w:rPr>
              <w:t>指南</w:t>
            </w:r>
            <w:r>
              <w:rPr>
                <w:szCs w:val="24"/>
              </w:rPr>
              <w:t>计划下达</w:t>
            </w:r>
            <w:r>
              <w:rPr>
                <w:szCs w:val="24"/>
                <w:lang w:eastAsia="zh-CN"/>
              </w:rPr>
              <w:t>。</w:t>
            </w:r>
          </w:p>
        </w:tc>
      </w:tr>
      <w:tr w14:paraId="18D21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5781BE37">
            <w:pPr>
              <w:adjustRightInd w:val="0"/>
              <w:snapToGrid w:val="0"/>
              <w:spacing w:line="240" w:lineRule="auto"/>
              <w:ind w:firstLine="0" w:firstLineChars="0"/>
              <w:jc w:val="center"/>
              <w:rPr>
                <w:rFonts w:hint="default" w:eastAsia="宋体"/>
                <w:szCs w:val="24"/>
                <w:lang w:val="en-US" w:eastAsia="zh-CN"/>
              </w:rPr>
            </w:pPr>
            <w:r>
              <w:rPr>
                <w:rFonts w:hint="eastAsia"/>
                <w:szCs w:val="24"/>
                <w:lang w:val="en-US" w:eastAsia="zh-CN"/>
              </w:rPr>
              <w:t>2022.05</w:t>
            </w:r>
          </w:p>
        </w:tc>
        <w:tc>
          <w:tcPr>
            <w:tcW w:w="1071" w:type="pct"/>
            <w:vAlign w:val="center"/>
          </w:tcPr>
          <w:p w14:paraId="4AC56FD9">
            <w:pPr>
              <w:adjustRightInd w:val="0"/>
              <w:snapToGrid w:val="0"/>
              <w:spacing w:line="240" w:lineRule="auto"/>
              <w:ind w:firstLine="0" w:firstLineChars="0"/>
              <w:jc w:val="center"/>
              <w:rPr>
                <w:szCs w:val="24"/>
              </w:rPr>
            </w:pPr>
            <w:r>
              <w:rPr>
                <w:rFonts w:hint="eastAsia"/>
                <w:szCs w:val="24"/>
                <w:lang w:val="en-US" w:eastAsia="zh-CN"/>
              </w:rPr>
              <w:t>指南（初稿）编制</w:t>
            </w:r>
          </w:p>
        </w:tc>
        <w:tc>
          <w:tcPr>
            <w:tcW w:w="3105" w:type="pct"/>
            <w:vAlign w:val="center"/>
          </w:tcPr>
          <w:p w14:paraId="118C1C74">
            <w:pPr>
              <w:adjustRightInd w:val="0"/>
              <w:snapToGrid w:val="0"/>
              <w:spacing w:line="240" w:lineRule="auto"/>
              <w:ind w:firstLine="0" w:firstLineChars="0"/>
              <w:rPr>
                <w:rFonts w:hint="eastAsia"/>
                <w:szCs w:val="24"/>
                <w:lang w:eastAsia="zh-CN"/>
              </w:rPr>
            </w:pPr>
            <w:r>
              <w:rPr>
                <w:szCs w:val="24"/>
                <w:lang w:eastAsia="zh-CN"/>
              </w:rPr>
              <w:t>收集国内外相关</w:t>
            </w:r>
            <w:r>
              <w:rPr>
                <w:rFonts w:hint="eastAsia"/>
                <w:szCs w:val="24"/>
                <w:lang w:eastAsia="zh-CN"/>
              </w:rPr>
              <w:t>指南</w:t>
            </w:r>
            <w:r>
              <w:rPr>
                <w:szCs w:val="24"/>
                <w:lang w:eastAsia="zh-CN"/>
              </w:rPr>
              <w:t>资料及相关科研成果，国内外应用现状及相关经验总结，存在问题及解决办法，对</w:t>
            </w:r>
            <w:r>
              <w:rPr>
                <w:rFonts w:hint="eastAsia"/>
                <w:szCs w:val="24"/>
                <w:lang w:eastAsia="zh-CN"/>
              </w:rPr>
              <w:t>指南</w:t>
            </w:r>
            <w:r>
              <w:rPr>
                <w:szCs w:val="24"/>
                <w:lang w:eastAsia="zh-CN"/>
              </w:rPr>
              <w:t>中的关键问题或难点问题进行调查研究，为确定</w:t>
            </w:r>
            <w:r>
              <w:rPr>
                <w:rFonts w:hint="eastAsia"/>
                <w:szCs w:val="24"/>
                <w:lang w:eastAsia="zh-CN"/>
              </w:rPr>
              <w:t>指南</w:t>
            </w:r>
            <w:r>
              <w:rPr>
                <w:szCs w:val="24"/>
                <w:lang w:eastAsia="zh-CN"/>
              </w:rPr>
              <w:t>内容提供依据。</w:t>
            </w:r>
            <w:r>
              <w:rPr>
                <w:rFonts w:hint="eastAsia"/>
                <w:szCs w:val="24"/>
                <w:lang w:eastAsia="zh-CN"/>
              </w:rPr>
              <w:t>编制了四项指南和编制说明（</w:t>
            </w:r>
            <w:r>
              <w:rPr>
                <w:rFonts w:hint="eastAsia"/>
                <w:szCs w:val="24"/>
                <w:lang w:val="en-US" w:eastAsia="zh-CN"/>
              </w:rPr>
              <w:t>初</w:t>
            </w:r>
            <w:r>
              <w:rPr>
                <w:rFonts w:hint="eastAsia"/>
                <w:szCs w:val="24"/>
                <w:lang w:eastAsia="zh-CN"/>
              </w:rPr>
              <w:t>稿）</w:t>
            </w:r>
          </w:p>
        </w:tc>
      </w:tr>
      <w:tr w14:paraId="1F26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7FDF6E6F">
            <w:pPr>
              <w:adjustRightInd w:val="0"/>
              <w:snapToGrid w:val="0"/>
              <w:spacing w:line="240" w:lineRule="auto"/>
              <w:ind w:firstLine="0" w:firstLineChars="0"/>
              <w:jc w:val="center"/>
              <w:rPr>
                <w:rFonts w:hint="default"/>
                <w:szCs w:val="24"/>
                <w:lang w:val="en-US"/>
              </w:rPr>
            </w:pPr>
            <w:r>
              <w:rPr>
                <w:szCs w:val="24"/>
              </w:rPr>
              <w:t>20</w:t>
            </w:r>
            <w:r>
              <w:rPr>
                <w:szCs w:val="24"/>
                <w:lang w:eastAsia="zh-CN"/>
              </w:rPr>
              <w:t>22</w:t>
            </w:r>
            <w:r>
              <w:rPr>
                <w:szCs w:val="24"/>
              </w:rPr>
              <w:t>.</w:t>
            </w:r>
            <w:r>
              <w:rPr>
                <w:rFonts w:hint="eastAsia"/>
                <w:szCs w:val="24"/>
                <w:lang w:val="en-US" w:eastAsia="zh-CN"/>
              </w:rPr>
              <w:t>11</w:t>
            </w:r>
          </w:p>
        </w:tc>
        <w:tc>
          <w:tcPr>
            <w:tcW w:w="1071" w:type="pct"/>
            <w:vAlign w:val="center"/>
          </w:tcPr>
          <w:p w14:paraId="20B43D3C">
            <w:pPr>
              <w:adjustRightInd w:val="0"/>
              <w:snapToGrid w:val="0"/>
              <w:spacing w:line="240" w:lineRule="auto"/>
              <w:ind w:firstLine="0" w:firstLineChars="0"/>
              <w:jc w:val="center"/>
              <w:rPr>
                <w:szCs w:val="24"/>
              </w:rPr>
            </w:pPr>
            <w:r>
              <w:rPr>
                <w:szCs w:val="24"/>
              </w:rPr>
              <w:t>专家研讨会</w:t>
            </w:r>
          </w:p>
        </w:tc>
        <w:tc>
          <w:tcPr>
            <w:tcW w:w="3105" w:type="pct"/>
            <w:vAlign w:val="center"/>
          </w:tcPr>
          <w:p w14:paraId="4F9FD232">
            <w:pPr>
              <w:adjustRightInd w:val="0"/>
              <w:snapToGrid w:val="0"/>
              <w:spacing w:line="240" w:lineRule="auto"/>
              <w:ind w:firstLine="0" w:firstLineChars="0"/>
              <w:rPr>
                <w:szCs w:val="24"/>
                <w:lang w:eastAsia="zh-CN"/>
              </w:rPr>
            </w:pPr>
            <w:r>
              <w:rPr>
                <w:szCs w:val="24"/>
                <w:lang w:eastAsia="zh-CN"/>
              </w:rPr>
              <w:t>组织专家研讨会，邀请专家对</w:t>
            </w:r>
            <w:r>
              <w:rPr>
                <w:rFonts w:hint="eastAsia"/>
                <w:szCs w:val="24"/>
                <w:lang w:eastAsia="zh-CN"/>
              </w:rPr>
              <w:t>指南</w:t>
            </w:r>
            <w:r>
              <w:rPr>
                <w:szCs w:val="24"/>
                <w:lang w:eastAsia="zh-CN"/>
              </w:rPr>
              <w:t>文本和编制说明进行审核</w:t>
            </w:r>
            <w:r>
              <w:rPr>
                <w:rFonts w:hint="eastAsia"/>
                <w:szCs w:val="24"/>
                <w:lang w:eastAsia="zh-CN"/>
              </w:rPr>
              <w:t>。</w:t>
            </w:r>
          </w:p>
        </w:tc>
      </w:tr>
      <w:tr w14:paraId="4F9D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0B2C10CE">
            <w:pPr>
              <w:adjustRightInd w:val="0"/>
              <w:snapToGrid w:val="0"/>
              <w:spacing w:line="240" w:lineRule="auto"/>
              <w:ind w:firstLine="0" w:firstLineChars="0"/>
              <w:jc w:val="center"/>
              <w:rPr>
                <w:szCs w:val="24"/>
              </w:rPr>
            </w:pPr>
            <w:r>
              <w:rPr>
                <w:szCs w:val="24"/>
              </w:rPr>
              <w:t>20</w:t>
            </w:r>
            <w:r>
              <w:rPr>
                <w:szCs w:val="24"/>
                <w:lang w:eastAsia="zh-CN"/>
              </w:rPr>
              <w:t>2</w:t>
            </w:r>
            <w:r>
              <w:rPr>
                <w:rFonts w:hint="eastAsia"/>
                <w:szCs w:val="24"/>
                <w:lang w:val="en-US" w:eastAsia="zh-CN"/>
              </w:rPr>
              <w:t>3</w:t>
            </w:r>
            <w:r>
              <w:rPr>
                <w:szCs w:val="24"/>
              </w:rPr>
              <w:t>.</w:t>
            </w:r>
            <w:r>
              <w:rPr>
                <w:rFonts w:hint="eastAsia"/>
                <w:szCs w:val="24"/>
                <w:lang w:val="en-US" w:eastAsia="zh-CN"/>
              </w:rPr>
              <w:t>01</w:t>
            </w:r>
          </w:p>
        </w:tc>
        <w:tc>
          <w:tcPr>
            <w:tcW w:w="1071" w:type="pct"/>
            <w:vAlign w:val="center"/>
          </w:tcPr>
          <w:p w14:paraId="22AA5F7B">
            <w:pPr>
              <w:adjustRightInd w:val="0"/>
              <w:snapToGrid w:val="0"/>
              <w:spacing w:line="240" w:lineRule="auto"/>
              <w:ind w:firstLine="0" w:firstLineChars="0"/>
              <w:jc w:val="center"/>
              <w:rPr>
                <w:szCs w:val="24"/>
              </w:rPr>
            </w:pPr>
            <w:r>
              <w:rPr>
                <w:rFonts w:hint="eastAsia"/>
                <w:szCs w:val="24"/>
                <w:lang w:val="en-US" w:eastAsia="zh-CN"/>
              </w:rPr>
              <w:t>指南（征求意见稿）编制</w:t>
            </w:r>
          </w:p>
        </w:tc>
        <w:tc>
          <w:tcPr>
            <w:tcW w:w="3105" w:type="pct"/>
            <w:vAlign w:val="center"/>
          </w:tcPr>
          <w:p w14:paraId="52A4F003">
            <w:pPr>
              <w:adjustRightInd w:val="0"/>
              <w:snapToGrid w:val="0"/>
              <w:spacing w:line="240" w:lineRule="auto"/>
              <w:ind w:firstLine="0" w:firstLineChars="0"/>
              <w:rPr>
                <w:szCs w:val="24"/>
                <w:lang w:eastAsia="zh-CN"/>
              </w:rPr>
            </w:pPr>
            <w:r>
              <w:rPr>
                <w:szCs w:val="24"/>
                <w:lang w:eastAsia="zh-CN"/>
              </w:rPr>
              <w:t>根据专家意见修改文本和编制说明，形成征求意见稿。</w:t>
            </w:r>
          </w:p>
        </w:tc>
      </w:tr>
      <w:tr w14:paraId="7D15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2766A20B">
            <w:pPr>
              <w:adjustRightInd w:val="0"/>
              <w:snapToGrid w:val="0"/>
              <w:spacing w:line="240" w:lineRule="auto"/>
              <w:ind w:firstLine="0" w:firstLineChars="0"/>
              <w:jc w:val="center"/>
              <w:rPr>
                <w:rFonts w:hint="default"/>
                <w:szCs w:val="24"/>
                <w:lang w:val="en-US"/>
              </w:rPr>
            </w:pPr>
            <w:r>
              <w:rPr>
                <w:szCs w:val="24"/>
              </w:rPr>
              <w:t>20</w:t>
            </w:r>
            <w:r>
              <w:rPr>
                <w:szCs w:val="24"/>
                <w:lang w:eastAsia="zh-CN"/>
              </w:rPr>
              <w:t>2</w:t>
            </w:r>
            <w:r>
              <w:rPr>
                <w:rFonts w:hint="eastAsia"/>
                <w:szCs w:val="24"/>
                <w:lang w:val="en-US" w:eastAsia="zh-CN"/>
              </w:rPr>
              <w:t>3</w:t>
            </w:r>
            <w:r>
              <w:rPr>
                <w:szCs w:val="24"/>
              </w:rPr>
              <w:t>.</w:t>
            </w:r>
            <w:r>
              <w:rPr>
                <w:rFonts w:hint="eastAsia"/>
                <w:szCs w:val="24"/>
                <w:lang w:val="en-US" w:eastAsia="zh-CN"/>
              </w:rPr>
              <w:t>0</w:t>
            </w:r>
            <w:r>
              <w:rPr>
                <w:szCs w:val="24"/>
                <w:lang w:eastAsia="zh-CN"/>
              </w:rPr>
              <w:t>4</w:t>
            </w:r>
          </w:p>
        </w:tc>
        <w:tc>
          <w:tcPr>
            <w:tcW w:w="1071" w:type="pct"/>
            <w:vAlign w:val="center"/>
          </w:tcPr>
          <w:p w14:paraId="068DA2C0">
            <w:pPr>
              <w:adjustRightInd w:val="0"/>
              <w:snapToGrid w:val="0"/>
              <w:spacing w:line="240" w:lineRule="auto"/>
              <w:ind w:firstLine="0" w:firstLineChars="0"/>
              <w:jc w:val="center"/>
              <w:rPr>
                <w:szCs w:val="24"/>
              </w:rPr>
            </w:pPr>
            <w:r>
              <w:rPr>
                <w:szCs w:val="24"/>
              </w:rPr>
              <w:t>征求意见</w:t>
            </w:r>
          </w:p>
        </w:tc>
        <w:tc>
          <w:tcPr>
            <w:tcW w:w="3105" w:type="pct"/>
            <w:vAlign w:val="center"/>
          </w:tcPr>
          <w:p w14:paraId="563B5AF5">
            <w:pPr>
              <w:adjustRightInd w:val="0"/>
              <w:snapToGrid w:val="0"/>
              <w:spacing w:line="240" w:lineRule="auto"/>
              <w:ind w:firstLine="0" w:firstLineChars="0"/>
              <w:rPr>
                <w:szCs w:val="24"/>
                <w:lang w:eastAsia="zh-CN"/>
              </w:rPr>
            </w:pPr>
            <w:r>
              <w:rPr>
                <w:szCs w:val="24"/>
                <w:lang w:eastAsia="zh-CN"/>
              </w:rPr>
              <w:t>将</w:t>
            </w:r>
            <w:r>
              <w:rPr>
                <w:rFonts w:hint="eastAsia"/>
                <w:szCs w:val="24"/>
                <w:lang w:eastAsia="zh-CN"/>
              </w:rPr>
              <w:t>指南</w:t>
            </w:r>
            <w:r>
              <w:rPr>
                <w:szCs w:val="24"/>
                <w:lang w:eastAsia="zh-CN"/>
              </w:rPr>
              <w:t>文本和编制说明发送</w:t>
            </w:r>
            <w:r>
              <w:rPr>
                <w:rFonts w:hint="eastAsia"/>
                <w:szCs w:val="24"/>
                <w:lang w:eastAsia="zh-CN"/>
              </w:rPr>
              <w:t>生态环境部水司、</w:t>
            </w:r>
            <w:r>
              <w:rPr>
                <w:rFonts w:hint="eastAsia"/>
                <w:szCs w:val="24"/>
                <w:lang w:val="en-US" w:eastAsia="zh-CN"/>
              </w:rPr>
              <w:t>省内</w:t>
            </w:r>
            <w:r>
              <w:rPr>
                <w:szCs w:val="24"/>
                <w:lang w:eastAsia="zh-CN"/>
              </w:rPr>
              <w:t>各有关部门（省直单位、高等院校、相关专业公司等）征求意见。</w:t>
            </w:r>
          </w:p>
        </w:tc>
      </w:tr>
      <w:tr w14:paraId="6D0D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78488C9C">
            <w:pPr>
              <w:adjustRightInd w:val="0"/>
              <w:snapToGrid w:val="0"/>
              <w:spacing w:line="240" w:lineRule="auto"/>
              <w:ind w:firstLine="0" w:firstLineChars="0"/>
              <w:jc w:val="center"/>
              <w:rPr>
                <w:rFonts w:hint="default" w:eastAsia="宋体"/>
                <w:szCs w:val="24"/>
                <w:lang w:val="en-US" w:eastAsia="zh-CN"/>
              </w:rPr>
            </w:pPr>
            <w:r>
              <w:rPr>
                <w:rFonts w:hint="eastAsia"/>
                <w:szCs w:val="24"/>
                <w:lang w:val="en-US" w:eastAsia="zh-CN"/>
              </w:rPr>
              <w:t>2024.04</w:t>
            </w:r>
          </w:p>
        </w:tc>
        <w:tc>
          <w:tcPr>
            <w:tcW w:w="1071" w:type="pct"/>
            <w:vAlign w:val="center"/>
          </w:tcPr>
          <w:p w14:paraId="368A553D">
            <w:pPr>
              <w:adjustRightInd w:val="0"/>
              <w:snapToGrid w:val="0"/>
              <w:spacing w:line="240" w:lineRule="auto"/>
              <w:ind w:firstLine="0" w:firstLineChars="0"/>
              <w:jc w:val="center"/>
              <w:rPr>
                <w:rFonts w:ascii="Times New Roman" w:hAnsi="Times New Roman" w:eastAsia="宋体" w:cs="Times New Roman"/>
                <w:sz w:val="24"/>
                <w:szCs w:val="24"/>
                <w:lang w:val="en-US" w:eastAsia="en-US" w:bidi="ar-SA"/>
              </w:rPr>
            </w:pPr>
            <w:r>
              <w:rPr>
                <w:szCs w:val="24"/>
              </w:rPr>
              <w:t>意见汇总处理</w:t>
            </w:r>
          </w:p>
        </w:tc>
        <w:tc>
          <w:tcPr>
            <w:tcW w:w="3105" w:type="pct"/>
            <w:vAlign w:val="center"/>
          </w:tcPr>
          <w:p w14:paraId="0D286637">
            <w:pPr>
              <w:adjustRightInd w:val="0"/>
              <w:snapToGrid w:val="0"/>
              <w:spacing w:line="240" w:lineRule="auto"/>
              <w:ind w:firstLine="0" w:firstLineChars="0"/>
              <w:rPr>
                <w:rFonts w:ascii="Times New Roman" w:hAnsi="Times New Roman" w:eastAsia="宋体" w:cs="Times New Roman"/>
                <w:sz w:val="24"/>
                <w:szCs w:val="24"/>
                <w:lang w:val="en-US" w:eastAsia="zh-CN" w:bidi="ar-SA"/>
              </w:rPr>
            </w:pPr>
            <w:r>
              <w:rPr>
                <w:szCs w:val="24"/>
                <w:lang w:eastAsia="zh-CN"/>
              </w:rPr>
              <w:t>对征集意见进行收集、整理、汇总和处理；组织内部讨论会，修改文本和编制说明，处理意见汇总表。</w:t>
            </w:r>
          </w:p>
        </w:tc>
      </w:tr>
      <w:tr w14:paraId="5594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08902160">
            <w:pPr>
              <w:adjustRightInd w:val="0"/>
              <w:snapToGrid w:val="0"/>
              <w:spacing w:line="240" w:lineRule="auto"/>
              <w:ind w:firstLine="0" w:firstLineChars="0"/>
              <w:jc w:val="center"/>
              <w:rPr>
                <w:szCs w:val="24"/>
                <w:lang w:eastAsia="zh-CN"/>
              </w:rPr>
            </w:pPr>
            <w:r>
              <w:rPr>
                <w:rFonts w:hint="eastAsia"/>
                <w:szCs w:val="24"/>
                <w:lang w:eastAsia="zh-CN"/>
              </w:rPr>
              <w:t>2</w:t>
            </w:r>
            <w:r>
              <w:rPr>
                <w:szCs w:val="24"/>
                <w:lang w:eastAsia="zh-CN"/>
              </w:rPr>
              <w:t>02</w:t>
            </w:r>
            <w:r>
              <w:rPr>
                <w:rFonts w:hint="eastAsia"/>
                <w:szCs w:val="24"/>
                <w:lang w:val="en-US" w:eastAsia="zh-CN"/>
              </w:rPr>
              <w:t>4</w:t>
            </w:r>
            <w:r>
              <w:rPr>
                <w:szCs w:val="24"/>
                <w:lang w:eastAsia="zh-CN"/>
              </w:rPr>
              <w:t>.</w:t>
            </w:r>
            <w:r>
              <w:rPr>
                <w:rFonts w:hint="eastAsia"/>
                <w:szCs w:val="24"/>
                <w:lang w:val="en-US" w:eastAsia="zh-CN"/>
              </w:rPr>
              <w:t>05</w:t>
            </w:r>
          </w:p>
        </w:tc>
        <w:tc>
          <w:tcPr>
            <w:tcW w:w="1071" w:type="pct"/>
            <w:vAlign w:val="center"/>
          </w:tcPr>
          <w:p w14:paraId="121879F6">
            <w:pPr>
              <w:adjustRightInd w:val="0"/>
              <w:snapToGrid w:val="0"/>
              <w:spacing w:line="240" w:lineRule="auto"/>
              <w:ind w:firstLine="0" w:firstLineChars="0"/>
              <w:jc w:val="center"/>
              <w:rPr>
                <w:szCs w:val="24"/>
              </w:rPr>
            </w:pPr>
            <w:r>
              <w:rPr>
                <w:rFonts w:hint="eastAsia"/>
                <w:szCs w:val="24"/>
                <w:lang w:eastAsia="zh-CN"/>
              </w:rPr>
              <w:t>网上公示</w:t>
            </w:r>
          </w:p>
        </w:tc>
        <w:tc>
          <w:tcPr>
            <w:tcW w:w="3105" w:type="pct"/>
            <w:vAlign w:val="center"/>
          </w:tcPr>
          <w:p w14:paraId="7BAC1D3E">
            <w:pPr>
              <w:adjustRightInd w:val="0"/>
              <w:snapToGrid w:val="0"/>
              <w:spacing w:line="240" w:lineRule="auto"/>
              <w:ind w:firstLine="0" w:firstLineChars="0"/>
              <w:rPr>
                <w:szCs w:val="24"/>
                <w:lang w:eastAsia="zh-CN"/>
              </w:rPr>
            </w:pPr>
            <w:r>
              <w:rPr>
                <w:rFonts w:hint="eastAsia"/>
                <w:szCs w:val="24"/>
                <w:lang w:eastAsia="zh-CN"/>
              </w:rPr>
              <w:t>在网站上公示一个月，充分接受群众反馈意见。</w:t>
            </w:r>
          </w:p>
        </w:tc>
      </w:tr>
      <w:tr w14:paraId="2C9C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04495203">
            <w:pPr>
              <w:adjustRightInd w:val="0"/>
              <w:snapToGrid w:val="0"/>
              <w:spacing w:line="240" w:lineRule="auto"/>
              <w:ind w:firstLine="0" w:firstLineChars="0"/>
              <w:jc w:val="center"/>
              <w:rPr>
                <w:szCs w:val="24"/>
                <w:lang w:eastAsia="zh-CN"/>
              </w:rPr>
            </w:pPr>
            <w:r>
              <w:rPr>
                <w:rFonts w:hint="eastAsia"/>
                <w:szCs w:val="24"/>
                <w:lang w:eastAsia="zh-CN"/>
              </w:rPr>
              <w:t>2</w:t>
            </w:r>
            <w:r>
              <w:rPr>
                <w:szCs w:val="24"/>
                <w:lang w:eastAsia="zh-CN"/>
              </w:rPr>
              <w:t>02</w:t>
            </w:r>
            <w:r>
              <w:rPr>
                <w:rFonts w:hint="eastAsia"/>
                <w:szCs w:val="24"/>
                <w:lang w:val="en-US" w:eastAsia="zh-CN"/>
              </w:rPr>
              <w:t>4</w:t>
            </w:r>
            <w:r>
              <w:rPr>
                <w:szCs w:val="24"/>
                <w:lang w:eastAsia="zh-CN"/>
              </w:rPr>
              <w:t>.</w:t>
            </w:r>
            <w:r>
              <w:rPr>
                <w:rFonts w:hint="eastAsia"/>
                <w:szCs w:val="24"/>
                <w:lang w:val="en-US" w:eastAsia="zh-CN"/>
              </w:rPr>
              <w:t>08</w:t>
            </w:r>
          </w:p>
        </w:tc>
        <w:tc>
          <w:tcPr>
            <w:tcW w:w="1071" w:type="pct"/>
            <w:vAlign w:val="center"/>
          </w:tcPr>
          <w:p w14:paraId="06E8112D">
            <w:pPr>
              <w:adjustRightInd w:val="0"/>
              <w:snapToGrid w:val="0"/>
              <w:spacing w:line="240" w:lineRule="auto"/>
              <w:ind w:firstLine="0" w:firstLineChars="0"/>
              <w:jc w:val="center"/>
              <w:rPr>
                <w:szCs w:val="24"/>
                <w:lang w:eastAsia="zh-CN"/>
              </w:rPr>
            </w:pPr>
            <w:r>
              <w:rPr>
                <w:rFonts w:hint="eastAsia"/>
                <w:szCs w:val="24"/>
                <w:lang w:eastAsia="zh-CN"/>
              </w:rPr>
              <w:t>再次</w:t>
            </w:r>
            <w:r>
              <w:rPr>
                <w:szCs w:val="24"/>
              </w:rPr>
              <w:t>征求</w:t>
            </w:r>
            <w:r>
              <w:rPr>
                <w:rFonts w:hint="eastAsia"/>
                <w:szCs w:val="24"/>
                <w:lang w:val="en-US" w:eastAsia="zh-CN"/>
              </w:rPr>
              <w:t>厅系统</w:t>
            </w:r>
            <w:r>
              <w:rPr>
                <w:szCs w:val="24"/>
              </w:rPr>
              <w:t>意见</w:t>
            </w:r>
          </w:p>
        </w:tc>
        <w:tc>
          <w:tcPr>
            <w:tcW w:w="3105" w:type="pct"/>
            <w:vAlign w:val="center"/>
          </w:tcPr>
          <w:p w14:paraId="5EEEBBC7">
            <w:pPr>
              <w:adjustRightInd w:val="0"/>
              <w:snapToGrid w:val="0"/>
              <w:spacing w:line="240" w:lineRule="auto"/>
              <w:ind w:firstLine="0" w:firstLineChars="0"/>
              <w:rPr>
                <w:rFonts w:hint="default"/>
                <w:szCs w:val="24"/>
                <w:lang w:val="en-US" w:eastAsia="zh-CN"/>
              </w:rPr>
            </w:pPr>
            <w:r>
              <w:rPr>
                <w:szCs w:val="24"/>
                <w:lang w:eastAsia="zh-CN"/>
              </w:rPr>
              <w:t>将</w:t>
            </w:r>
            <w:r>
              <w:rPr>
                <w:rFonts w:hint="eastAsia"/>
                <w:szCs w:val="24"/>
                <w:lang w:eastAsia="zh-CN"/>
              </w:rPr>
              <w:t>指南</w:t>
            </w:r>
            <w:r>
              <w:rPr>
                <w:szCs w:val="24"/>
                <w:lang w:eastAsia="zh-CN"/>
              </w:rPr>
              <w:t>文本和编制说明</w:t>
            </w:r>
            <w:r>
              <w:rPr>
                <w:rFonts w:hint="eastAsia"/>
                <w:szCs w:val="24"/>
                <w:lang w:eastAsia="zh-CN"/>
              </w:rPr>
              <w:t>再次</w:t>
            </w:r>
            <w:r>
              <w:rPr>
                <w:szCs w:val="24"/>
                <w:lang w:eastAsia="zh-CN"/>
              </w:rPr>
              <w:t>发送</w:t>
            </w:r>
            <w:r>
              <w:rPr>
                <w:rFonts w:hint="eastAsia"/>
                <w:szCs w:val="24"/>
                <w:lang w:val="en-US" w:eastAsia="zh-CN"/>
              </w:rPr>
              <w:t>厅机关相关处室</w:t>
            </w:r>
            <w:r>
              <w:rPr>
                <w:szCs w:val="24"/>
                <w:lang w:eastAsia="zh-CN"/>
              </w:rPr>
              <w:t>征求意见</w:t>
            </w:r>
            <w:r>
              <w:rPr>
                <w:rFonts w:hint="eastAsia"/>
                <w:szCs w:val="24"/>
                <w:lang w:eastAsia="zh-CN"/>
              </w:rPr>
              <w:t>，</w:t>
            </w:r>
            <w:r>
              <w:rPr>
                <w:rFonts w:hint="eastAsia"/>
                <w:szCs w:val="24"/>
                <w:lang w:val="en-US" w:eastAsia="zh-CN"/>
              </w:rPr>
              <w:t>并完成修改稿。</w:t>
            </w:r>
          </w:p>
        </w:tc>
      </w:tr>
      <w:tr w14:paraId="3564E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3ACF21F8">
            <w:pPr>
              <w:adjustRightInd w:val="0"/>
              <w:snapToGrid w:val="0"/>
              <w:spacing w:line="240" w:lineRule="auto"/>
              <w:ind w:firstLine="0" w:firstLineChars="0"/>
              <w:jc w:val="center"/>
              <w:rPr>
                <w:rFonts w:hint="default"/>
                <w:szCs w:val="24"/>
                <w:lang w:val="en-US" w:eastAsia="zh-CN"/>
              </w:rPr>
            </w:pPr>
            <w:r>
              <w:rPr>
                <w:rFonts w:hint="eastAsia"/>
                <w:szCs w:val="24"/>
                <w:lang w:val="en-US" w:eastAsia="zh-CN"/>
              </w:rPr>
              <w:t>2024.09</w:t>
            </w:r>
          </w:p>
        </w:tc>
        <w:tc>
          <w:tcPr>
            <w:tcW w:w="1071" w:type="pct"/>
            <w:vAlign w:val="center"/>
          </w:tcPr>
          <w:p w14:paraId="32321015">
            <w:pPr>
              <w:adjustRightInd w:val="0"/>
              <w:snapToGrid w:val="0"/>
              <w:spacing w:line="240" w:lineRule="auto"/>
              <w:ind w:firstLine="0" w:firstLineChars="0"/>
              <w:jc w:val="center"/>
              <w:rPr>
                <w:rFonts w:hint="default"/>
                <w:szCs w:val="24"/>
                <w:lang w:val="en-US" w:eastAsia="zh-CN"/>
              </w:rPr>
            </w:pPr>
            <w:r>
              <w:rPr>
                <w:rFonts w:hint="eastAsia"/>
                <w:szCs w:val="24"/>
                <w:lang w:eastAsia="zh-CN"/>
              </w:rPr>
              <w:t>再次</w:t>
            </w:r>
            <w:r>
              <w:rPr>
                <w:szCs w:val="24"/>
              </w:rPr>
              <w:t>征求</w:t>
            </w:r>
            <w:r>
              <w:rPr>
                <w:rFonts w:hint="eastAsia"/>
                <w:szCs w:val="24"/>
                <w:lang w:val="en-US" w:eastAsia="zh-CN"/>
              </w:rPr>
              <w:t>部水司意见</w:t>
            </w:r>
          </w:p>
        </w:tc>
        <w:tc>
          <w:tcPr>
            <w:tcW w:w="3105" w:type="pct"/>
            <w:vAlign w:val="center"/>
          </w:tcPr>
          <w:p w14:paraId="4148C5C0">
            <w:pPr>
              <w:adjustRightInd w:val="0"/>
              <w:snapToGrid w:val="0"/>
              <w:spacing w:line="240" w:lineRule="auto"/>
              <w:ind w:firstLine="0" w:firstLineChars="0"/>
              <w:rPr>
                <w:szCs w:val="24"/>
                <w:lang w:eastAsia="zh-CN"/>
              </w:rPr>
            </w:pPr>
            <w:r>
              <w:rPr>
                <w:szCs w:val="24"/>
                <w:lang w:eastAsia="zh-CN"/>
              </w:rPr>
              <w:t>将</w:t>
            </w:r>
            <w:r>
              <w:rPr>
                <w:rFonts w:hint="eastAsia"/>
                <w:szCs w:val="24"/>
                <w:lang w:eastAsia="zh-CN"/>
              </w:rPr>
              <w:t>指南</w:t>
            </w:r>
            <w:r>
              <w:rPr>
                <w:szCs w:val="24"/>
                <w:lang w:eastAsia="zh-CN"/>
              </w:rPr>
              <w:t>文本和编制说明</w:t>
            </w:r>
            <w:r>
              <w:rPr>
                <w:rFonts w:hint="eastAsia"/>
                <w:szCs w:val="24"/>
                <w:lang w:eastAsia="zh-CN"/>
              </w:rPr>
              <w:t>再次</w:t>
            </w:r>
            <w:r>
              <w:rPr>
                <w:szCs w:val="24"/>
                <w:lang w:eastAsia="zh-CN"/>
              </w:rPr>
              <w:t>发送</w:t>
            </w:r>
            <w:r>
              <w:rPr>
                <w:rFonts w:hint="eastAsia"/>
                <w:szCs w:val="24"/>
                <w:lang w:val="en-US" w:eastAsia="zh-CN"/>
              </w:rPr>
              <w:t>部水司</w:t>
            </w:r>
            <w:r>
              <w:rPr>
                <w:szCs w:val="24"/>
                <w:lang w:eastAsia="zh-CN"/>
              </w:rPr>
              <w:t>征求意见</w:t>
            </w:r>
            <w:r>
              <w:rPr>
                <w:rFonts w:hint="eastAsia"/>
                <w:szCs w:val="24"/>
                <w:lang w:eastAsia="zh-CN"/>
              </w:rPr>
              <w:t>，</w:t>
            </w:r>
            <w:r>
              <w:rPr>
                <w:rFonts w:hint="eastAsia"/>
                <w:szCs w:val="24"/>
                <w:lang w:val="en-US" w:eastAsia="zh-CN"/>
              </w:rPr>
              <w:t>并完成修改稿。</w:t>
            </w:r>
          </w:p>
        </w:tc>
      </w:tr>
      <w:tr w14:paraId="391D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681CD885">
            <w:pPr>
              <w:adjustRightInd w:val="0"/>
              <w:snapToGrid w:val="0"/>
              <w:spacing w:line="240" w:lineRule="auto"/>
              <w:ind w:firstLine="0" w:firstLineChars="0"/>
              <w:jc w:val="center"/>
              <w:rPr>
                <w:rFonts w:hint="default" w:eastAsia="宋体"/>
                <w:szCs w:val="24"/>
                <w:lang w:val="en-US" w:eastAsia="zh-CN"/>
              </w:rPr>
            </w:pPr>
            <w:r>
              <w:rPr>
                <w:szCs w:val="24"/>
              </w:rPr>
              <w:t>20</w:t>
            </w:r>
            <w:r>
              <w:rPr>
                <w:szCs w:val="24"/>
                <w:lang w:eastAsia="zh-CN"/>
              </w:rPr>
              <w:t>2</w:t>
            </w:r>
            <w:r>
              <w:rPr>
                <w:rFonts w:hint="eastAsia"/>
                <w:szCs w:val="24"/>
                <w:lang w:val="en-US" w:eastAsia="zh-CN"/>
              </w:rPr>
              <w:t>4</w:t>
            </w:r>
            <w:r>
              <w:rPr>
                <w:szCs w:val="24"/>
              </w:rPr>
              <w:t>.</w:t>
            </w:r>
            <w:r>
              <w:rPr>
                <w:rFonts w:hint="eastAsia"/>
                <w:szCs w:val="24"/>
                <w:lang w:val="en-US" w:eastAsia="zh-CN"/>
              </w:rPr>
              <w:t>10</w:t>
            </w:r>
          </w:p>
        </w:tc>
        <w:tc>
          <w:tcPr>
            <w:tcW w:w="1071" w:type="pct"/>
            <w:vAlign w:val="center"/>
          </w:tcPr>
          <w:p w14:paraId="24FB9F88">
            <w:pPr>
              <w:adjustRightInd w:val="0"/>
              <w:snapToGrid w:val="0"/>
              <w:spacing w:line="240" w:lineRule="auto"/>
              <w:ind w:firstLine="0" w:firstLineChars="0"/>
              <w:jc w:val="center"/>
              <w:rPr>
                <w:szCs w:val="24"/>
              </w:rPr>
            </w:pPr>
            <w:r>
              <w:rPr>
                <w:szCs w:val="24"/>
                <w:lang w:eastAsia="zh-CN"/>
              </w:rPr>
              <w:t>报审</w:t>
            </w:r>
          </w:p>
        </w:tc>
        <w:tc>
          <w:tcPr>
            <w:tcW w:w="3105" w:type="pct"/>
            <w:vAlign w:val="center"/>
          </w:tcPr>
          <w:p w14:paraId="090E55AC">
            <w:pPr>
              <w:adjustRightInd w:val="0"/>
              <w:snapToGrid w:val="0"/>
              <w:spacing w:line="240" w:lineRule="auto"/>
              <w:ind w:firstLine="0" w:firstLineChars="0"/>
              <w:rPr>
                <w:szCs w:val="24"/>
                <w:lang w:eastAsia="zh-CN"/>
              </w:rPr>
            </w:pPr>
            <w:r>
              <w:rPr>
                <w:szCs w:val="24"/>
                <w:lang w:eastAsia="zh-CN"/>
              </w:rPr>
              <w:t>提交标准报审稿、编制说明报审稿及意见汇总处理表。</w:t>
            </w:r>
          </w:p>
        </w:tc>
      </w:tr>
    </w:tbl>
    <w:p w14:paraId="5AF09D9D">
      <w:pPr>
        <w:pStyle w:val="2"/>
        <w:numPr>
          <w:ilvl w:val="0"/>
          <w:numId w:val="0"/>
        </w:numPr>
        <w:bidi w:val="0"/>
        <w:ind w:left="0" w:leftChars="0" w:firstLine="0" w:firstLineChars="0"/>
        <w:rPr>
          <w:rFonts w:hint="eastAsia" w:ascii="Times New Roman" w:hAnsi="Times New Roman" w:cs="Times New Roman"/>
          <w:lang w:eastAsia="zh-CN"/>
        </w:rPr>
      </w:pPr>
      <w:bookmarkStart w:id="40" w:name="_Toc13004"/>
      <w:r>
        <w:rPr>
          <w:rFonts w:hint="eastAsia" w:ascii="Times New Roman" w:hAnsi="Times New Roman" w:eastAsia="黑体" w:cs="Times New Roman"/>
          <w:sz w:val="32"/>
          <w:szCs w:val="28"/>
          <w:lang w:val="en-US" w:eastAsia="zh-CN" w:bidi="ar-SA"/>
        </w:rPr>
        <w:t>五、</w:t>
      </w:r>
      <w:r>
        <w:rPr>
          <w:rFonts w:hint="eastAsia" w:ascii="Times New Roman" w:hAnsi="Times New Roman" w:cs="Times New Roman"/>
          <w:lang w:eastAsia="zh-CN"/>
        </w:rPr>
        <w:t>主要技术内容</w:t>
      </w:r>
      <w:bookmarkEnd w:id="40"/>
    </w:p>
    <w:p w14:paraId="23547155">
      <w:pPr>
        <w:pStyle w:val="3"/>
        <w:keepNext w:val="0"/>
        <w:keepLines w:val="0"/>
        <w:numPr>
          <w:ilvl w:val="1"/>
          <w:numId w:val="0"/>
        </w:numPr>
        <w:adjustRightInd w:val="0"/>
        <w:snapToGrid w:val="0"/>
        <w:spacing w:before="0" w:beforeLines="0" w:after="0" w:afterLines="0" w:line="360" w:lineRule="auto"/>
        <w:ind w:left="0" w:leftChars="0" w:firstLine="0" w:firstLineChars="0"/>
        <w:rPr>
          <w:sz w:val="28"/>
          <w:szCs w:val="24"/>
        </w:rPr>
      </w:pPr>
      <w:bookmarkStart w:id="41" w:name="_Toc20058647"/>
      <w:bookmarkStart w:id="42" w:name="_Toc19145"/>
      <w:bookmarkStart w:id="43" w:name="_Hlk95470133"/>
      <w:r>
        <w:rPr>
          <w:rFonts w:hint="eastAsia"/>
          <w:sz w:val="28"/>
          <w:szCs w:val="24"/>
          <w:lang w:val="en-US" w:eastAsia="zh-CN"/>
        </w:rPr>
        <w:t>5.1</w:t>
      </w:r>
      <w:r>
        <w:rPr>
          <w:sz w:val="28"/>
          <w:szCs w:val="24"/>
        </w:rPr>
        <w:t>标准框架</w:t>
      </w:r>
      <w:bookmarkEnd w:id="41"/>
      <w:r>
        <w:rPr>
          <w:sz w:val="28"/>
          <w:szCs w:val="24"/>
        </w:rPr>
        <w:t>结构</w:t>
      </w:r>
      <w:bookmarkEnd w:id="42"/>
    </w:p>
    <w:bookmarkEnd w:id="43"/>
    <w:p w14:paraId="10FC7B48">
      <w:pPr>
        <w:adjustRightInd w:val="0"/>
        <w:snapToGrid w:val="0"/>
        <w:spacing w:line="360" w:lineRule="auto"/>
        <w:ind w:firstLine="560"/>
        <w:rPr>
          <w:sz w:val="28"/>
          <w:szCs w:val="24"/>
          <w:lang w:eastAsia="zh-CN"/>
        </w:rPr>
      </w:pPr>
      <w:r>
        <w:rPr>
          <w:sz w:val="28"/>
          <w:szCs w:val="24"/>
          <w:lang w:eastAsia="zh-CN"/>
        </w:rPr>
        <w:t>本</w:t>
      </w:r>
      <w:r>
        <w:rPr>
          <w:rFonts w:hint="eastAsia"/>
          <w:sz w:val="28"/>
          <w:szCs w:val="24"/>
          <w:lang w:eastAsia="zh-CN"/>
        </w:rPr>
        <w:t>系列指南</w:t>
      </w:r>
      <w:r>
        <w:rPr>
          <w:sz w:val="28"/>
          <w:szCs w:val="24"/>
          <w:lang w:eastAsia="zh-CN"/>
        </w:rPr>
        <w:t>结构按照《标准化工作导则 第1部分：标准化文件的结构和起草规则》（GB/T 1.1）的要求进行编排，</w:t>
      </w:r>
      <w:r>
        <w:rPr>
          <w:rFonts w:hint="eastAsia"/>
          <w:sz w:val="28"/>
          <w:szCs w:val="24"/>
          <w:lang w:eastAsia="zh-CN"/>
        </w:rPr>
        <w:t>指南</w:t>
      </w:r>
      <w:r>
        <w:rPr>
          <w:sz w:val="28"/>
          <w:szCs w:val="24"/>
          <w:lang w:eastAsia="zh-CN"/>
        </w:rPr>
        <w:t>规定了</w:t>
      </w:r>
      <w:r>
        <w:rPr>
          <w:rFonts w:hint="eastAsia"/>
          <w:sz w:val="28"/>
          <w:szCs w:val="24"/>
          <w:lang w:eastAsia="zh-CN"/>
        </w:rPr>
        <w:t>湖库水生态修复中底质修复技术的选择，主要包括</w:t>
      </w:r>
      <w:r>
        <w:rPr>
          <w:sz w:val="28"/>
          <w:szCs w:val="24"/>
          <w:lang w:eastAsia="zh-CN"/>
        </w:rPr>
        <w:t>范围、规范性引用文件、术语和定义</w:t>
      </w:r>
      <w:r>
        <w:rPr>
          <w:rFonts w:hint="eastAsia"/>
          <w:sz w:val="28"/>
          <w:szCs w:val="24"/>
          <w:lang w:eastAsia="zh-CN"/>
        </w:rPr>
        <w:t>、一般要求以及</w:t>
      </w:r>
      <w:bookmarkStart w:id="44" w:name="_Hlk95497986"/>
      <w:r>
        <w:rPr>
          <w:rFonts w:hint="eastAsia"/>
          <w:sz w:val="28"/>
          <w:szCs w:val="24"/>
          <w:lang w:eastAsia="zh-CN"/>
        </w:rPr>
        <w:t>清淤疏浚、底质覆盖、生物修复、化学修复、脱水干化</w:t>
      </w:r>
      <w:bookmarkEnd w:id="44"/>
      <w:r>
        <w:rPr>
          <w:rFonts w:hint="eastAsia"/>
          <w:sz w:val="28"/>
          <w:szCs w:val="24"/>
          <w:lang w:eastAsia="zh-CN"/>
        </w:rPr>
        <w:t>适用范围、技术要点和限制因素、技术比选等部分。</w:t>
      </w:r>
    </w:p>
    <w:p w14:paraId="366F21E3">
      <w:pPr>
        <w:adjustRightInd w:val="0"/>
        <w:snapToGrid w:val="0"/>
        <w:spacing w:line="360" w:lineRule="auto"/>
        <w:ind w:firstLine="560"/>
        <w:rPr>
          <w:sz w:val="28"/>
          <w:szCs w:val="24"/>
          <w:lang w:eastAsia="zh-CN"/>
        </w:rPr>
      </w:pPr>
      <w:r>
        <w:rPr>
          <w:sz w:val="28"/>
          <w:szCs w:val="24"/>
          <w:lang w:eastAsia="zh-CN"/>
        </w:rPr>
        <w:t xml:space="preserve">1. 范围：对文件的主题内容与适用范围进行说明。 </w:t>
      </w:r>
    </w:p>
    <w:p w14:paraId="1FA6FFA3">
      <w:pPr>
        <w:adjustRightInd w:val="0"/>
        <w:snapToGrid w:val="0"/>
        <w:spacing w:line="360" w:lineRule="auto"/>
        <w:ind w:firstLine="560"/>
        <w:rPr>
          <w:sz w:val="28"/>
          <w:szCs w:val="24"/>
          <w:lang w:eastAsia="zh-CN"/>
        </w:rPr>
      </w:pPr>
      <w:r>
        <w:rPr>
          <w:sz w:val="28"/>
          <w:szCs w:val="24"/>
          <w:lang w:eastAsia="zh-CN"/>
        </w:rPr>
        <w:t xml:space="preserve">2. 规范性引用文件：对文件中引用的标准、规范等进行说明。 </w:t>
      </w:r>
    </w:p>
    <w:p w14:paraId="5BC3BF63">
      <w:pPr>
        <w:adjustRightInd w:val="0"/>
        <w:snapToGrid w:val="0"/>
        <w:spacing w:line="360" w:lineRule="auto"/>
        <w:ind w:firstLine="560"/>
        <w:rPr>
          <w:sz w:val="28"/>
          <w:szCs w:val="24"/>
          <w:lang w:eastAsia="zh-CN"/>
        </w:rPr>
      </w:pPr>
      <w:r>
        <w:rPr>
          <w:sz w:val="28"/>
          <w:szCs w:val="24"/>
          <w:lang w:eastAsia="zh-CN"/>
        </w:rPr>
        <w:t>3. 术语与定义：对文件中关键词语的解释。</w:t>
      </w:r>
    </w:p>
    <w:p w14:paraId="641E1051">
      <w:pPr>
        <w:adjustRightInd w:val="0"/>
        <w:snapToGrid w:val="0"/>
        <w:spacing w:line="360" w:lineRule="auto"/>
        <w:ind w:firstLine="560"/>
        <w:rPr>
          <w:rFonts w:hint="eastAsia"/>
          <w:sz w:val="28"/>
          <w:szCs w:val="24"/>
          <w:lang w:eastAsia="zh-CN"/>
        </w:rPr>
      </w:pPr>
      <w:r>
        <w:rPr>
          <w:rFonts w:hint="eastAsia"/>
          <w:sz w:val="28"/>
          <w:szCs w:val="24"/>
          <w:lang w:eastAsia="zh-CN"/>
        </w:rPr>
        <w:t>4</w:t>
      </w:r>
      <w:r>
        <w:rPr>
          <w:sz w:val="28"/>
          <w:szCs w:val="24"/>
          <w:lang w:eastAsia="zh-CN"/>
        </w:rPr>
        <w:t xml:space="preserve">. </w:t>
      </w:r>
      <w:r>
        <w:rPr>
          <w:rFonts w:hint="eastAsia"/>
          <w:sz w:val="28"/>
          <w:szCs w:val="24"/>
          <w:lang w:eastAsia="zh-CN"/>
        </w:rPr>
        <w:t>一般规定：对湖库底质改善遵循原则和技术选择条件进行说明。</w:t>
      </w:r>
    </w:p>
    <w:p w14:paraId="37BA4ADF">
      <w:pPr>
        <w:adjustRightInd w:val="0"/>
        <w:snapToGrid w:val="0"/>
        <w:spacing w:line="360" w:lineRule="auto"/>
        <w:ind w:firstLine="560"/>
        <w:rPr>
          <w:rFonts w:hint="eastAsia"/>
          <w:sz w:val="28"/>
          <w:szCs w:val="24"/>
          <w:lang w:eastAsia="zh-CN"/>
        </w:rPr>
      </w:pPr>
      <w:r>
        <w:rPr>
          <w:rFonts w:hint="eastAsia"/>
          <w:sz w:val="28"/>
          <w:szCs w:val="24"/>
          <w:lang w:val="en-US" w:eastAsia="zh-CN"/>
        </w:rPr>
        <w:t>5. 工作流程：对水质改善工作流程进行了相关说明。</w:t>
      </w:r>
    </w:p>
    <w:p w14:paraId="1116C922">
      <w:pPr>
        <w:adjustRightInd w:val="0"/>
        <w:snapToGrid w:val="0"/>
        <w:spacing w:line="360" w:lineRule="auto"/>
        <w:ind w:firstLine="560"/>
        <w:rPr>
          <w:sz w:val="28"/>
          <w:szCs w:val="24"/>
          <w:lang w:eastAsia="zh-CN"/>
        </w:rPr>
      </w:pPr>
      <w:r>
        <w:rPr>
          <w:rFonts w:hint="eastAsia"/>
          <w:sz w:val="28"/>
          <w:szCs w:val="24"/>
          <w:lang w:val="en-US" w:eastAsia="zh-CN"/>
        </w:rPr>
        <w:t>6</w:t>
      </w:r>
      <w:r>
        <w:rPr>
          <w:sz w:val="28"/>
          <w:szCs w:val="24"/>
          <w:lang w:eastAsia="zh-CN"/>
        </w:rPr>
        <w:t xml:space="preserve">. </w:t>
      </w:r>
      <w:r>
        <w:rPr>
          <w:rFonts w:hint="eastAsia"/>
          <w:sz w:val="28"/>
          <w:szCs w:val="24"/>
          <w:lang w:eastAsia="zh-CN"/>
        </w:rPr>
        <w:t>清淤疏浚</w:t>
      </w:r>
      <w:r>
        <w:rPr>
          <w:sz w:val="28"/>
          <w:szCs w:val="24"/>
          <w:lang w:eastAsia="zh-CN"/>
        </w:rPr>
        <w:t>：对</w:t>
      </w:r>
      <w:r>
        <w:rPr>
          <w:rFonts w:hint="eastAsia"/>
          <w:sz w:val="28"/>
          <w:szCs w:val="24"/>
          <w:lang w:eastAsia="zh-CN"/>
        </w:rPr>
        <w:t>清淤疏浚适用范围、技术要点和限制因素</w:t>
      </w:r>
      <w:r>
        <w:rPr>
          <w:sz w:val="28"/>
          <w:szCs w:val="24"/>
          <w:lang w:eastAsia="zh-CN"/>
        </w:rPr>
        <w:t>进行了相关说明。</w:t>
      </w:r>
    </w:p>
    <w:p w14:paraId="384E861C">
      <w:pPr>
        <w:adjustRightInd w:val="0"/>
        <w:snapToGrid w:val="0"/>
        <w:spacing w:line="360" w:lineRule="auto"/>
        <w:ind w:firstLine="560"/>
        <w:rPr>
          <w:sz w:val="28"/>
          <w:szCs w:val="24"/>
          <w:lang w:eastAsia="zh-CN"/>
        </w:rPr>
      </w:pPr>
      <w:r>
        <w:rPr>
          <w:rFonts w:hint="eastAsia"/>
          <w:sz w:val="28"/>
          <w:szCs w:val="24"/>
          <w:lang w:val="en-US" w:eastAsia="zh-CN"/>
        </w:rPr>
        <w:t>7</w:t>
      </w:r>
      <w:r>
        <w:rPr>
          <w:sz w:val="28"/>
          <w:szCs w:val="24"/>
          <w:lang w:eastAsia="zh-CN"/>
        </w:rPr>
        <w:t xml:space="preserve">. </w:t>
      </w:r>
      <w:r>
        <w:rPr>
          <w:rFonts w:hint="eastAsia"/>
          <w:sz w:val="28"/>
          <w:szCs w:val="24"/>
          <w:lang w:eastAsia="zh-CN"/>
        </w:rPr>
        <w:t>底质覆盖</w:t>
      </w:r>
      <w:r>
        <w:rPr>
          <w:sz w:val="28"/>
          <w:szCs w:val="24"/>
          <w:lang w:eastAsia="zh-CN"/>
        </w:rPr>
        <w:t>：对</w:t>
      </w:r>
      <w:r>
        <w:rPr>
          <w:rFonts w:hint="eastAsia"/>
          <w:sz w:val="28"/>
          <w:szCs w:val="24"/>
          <w:lang w:eastAsia="zh-CN"/>
        </w:rPr>
        <w:t>底质覆盖适用范围、技术要点和限制因素</w:t>
      </w:r>
      <w:r>
        <w:rPr>
          <w:sz w:val="28"/>
          <w:szCs w:val="24"/>
          <w:lang w:eastAsia="zh-CN"/>
        </w:rPr>
        <w:t>进行了相关说明。</w:t>
      </w:r>
    </w:p>
    <w:p w14:paraId="397E0648">
      <w:pPr>
        <w:adjustRightInd w:val="0"/>
        <w:snapToGrid w:val="0"/>
        <w:spacing w:line="360" w:lineRule="auto"/>
        <w:ind w:firstLine="560"/>
        <w:rPr>
          <w:sz w:val="28"/>
          <w:szCs w:val="24"/>
          <w:lang w:eastAsia="zh-CN"/>
        </w:rPr>
      </w:pPr>
      <w:r>
        <w:rPr>
          <w:rFonts w:hint="eastAsia"/>
          <w:sz w:val="28"/>
          <w:szCs w:val="24"/>
          <w:lang w:val="en-US" w:eastAsia="zh-CN"/>
        </w:rPr>
        <w:t>8</w:t>
      </w:r>
      <w:r>
        <w:rPr>
          <w:sz w:val="28"/>
          <w:szCs w:val="24"/>
          <w:lang w:eastAsia="zh-CN"/>
        </w:rPr>
        <w:t xml:space="preserve">. </w:t>
      </w:r>
      <w:r>
        <w:rPr>
          <w:rFonts w:hint="eastAsia"/>
          <w:sz w:val="28"/>
          <w:szCs w:val="24"/>
          <w:lang w:eastAsia="zh-CN"/>
        </w:rPr>
        <w:t>生物修复</w:t>
      </w:r>
      <w:r>
        <w:rPr>
          <w:sz w:val="28"/>
          <w:szCs w:val="24"/>
          <w:lang w:eastAsia="zh-CN"/>
        </w:rPr>
        <w:t>：对</w:t>
      </w:r>
      <w:r>
        <w:rPr>
          <w:rFonts w:hint="eastAsia"/>
          <w:sz w:val="28"/>
          <w:szCs w:val="24"/>
          <w:lang w:eastAsia="zh-CN"/>
        </w:rPr>
        <w:t>生物修复适用范围、技术要点和限制因素</w:t>
      </w:r>
      <w:r>
        <w:rPr>
          <w:sz w:val="28"/>
          <w:szCs w:val="24"/>
          <w:lang w:eastAsia="zh-CN"/>
        </w:rPr>
        <w:t>进行了相关说明。</w:t>
      </w:r>
    </w:p>
    <w:p w14:paraId="4CA8495E">
      <w:pPr>
        <w:adjustRightInd w:val="0"/>
        <w:snapToGrid w:val="0"/>
        <w:spacing w:line="360" w:lineRule="auto"/>
        <w:ind w:firstLine="560"/>
        <w:rPr>
          <w:sz w:val="28"/>
          <w:szCs w:val="24"/>
          <w:lang w:eastAsia="zh-CN"/>
        </w:rPr>
      </w:pPr>
      <w:r>
        <w:rPr>
          <w:rFonts w:hint="eastAsia"/>
          <w:sz w:val="28"/>
          <w:szCs w:val="24"/>
          <w:lang w:val="en-US" w:eastAsia="zh-CN"/>
        </w:rPr>
        <w:t>9</w:t>
      </w:r>
      <w:r>
        <w:rPr>
          <w:sz w:val="28"/>
          <w:szCs w:val="24"/>
          <w:lang w:eastAsia="zh-CN"/>
        </w:rPr>
        <w:t xml:space="preserve">. </w:t>
      </w:r>
      <w:r>
        <w:rPr>
          <w:rFonts w:hint="eastAsia"/>
          <w:sz w:val="28"/>
          <w:szCs w:val="24"/>
          <w:lang w:eastAsia="zh-CN"/>
        </w:rPr>
        <w:t>化学修复</w:t>
      </w:r>
      <w:r>
        <w:rPr>
          <w:sz w:val="28"/>
          <w:szCs w:val="24"/>
          <w:lang w:eastAsia="zh-CN"/>
        </w:rPr>
        <w:t>：对</w:t>
      </w:r>
      <w:r>
        <w:rPr>
          <w:rFonts w:hint="eastAsia"/>
          <w:sz w:val="28"/>
          <w:szCs w:val="24"/>
          <w:lang w:eastAsia="zh-CN"/>
        </w:rPr>
        <w:t>化学修复适用范围、技术要点和限制因素</w:t>
      </w:r>
      <w:r>
        <w:rPr>
          <w:sz w:val="28"/>
          <w:szCs w:val="24"/>
          <w:lang w:eastAsia="zh-CN"/>
        </w:rPr>
        <w:t>进行了相关说明。</w:t>
      </w:r>
    </w:p>
    <w:p w14:paraId="22F0FFBB">
      <w:pPr>
        <w:adjustRightInd w:val="0"/>
        <w:snapToGrid w:val="0"/>
        <w:spacing w:line="360" w:lineRule="auto"/>
        <w:ind w:firstLine="560"/>
        <w:rPr>
          <w:sz w:val="28"/>
          <w:szCs w:val="24"/>
          <w:lang w:eastAsia="zh-CN"/>
        </w:rPr>
      </w:pPr>
      <w:r>
        <w:rPr>
          <w:rFonts w:hint="eastAsia"/>
          <w:sz w:val="28"/>
          <w:szCs w:val="24"/>
          <w:lang w:val="en-US" w:eastAsia="zh-CN"/>
        </w:rPr>
        <w:t>10</w:t>
      </w:r>
      <w:r>
        <w:rPr>
          <w:sz w:val="28"/>
          <w:szCs w:val="24"/>
          <w:lang w:eastAsia="zh-CN"/>
        </w:rPr>
        <w:t xml:space="preserve">. </w:t>
      </w:r>
      <w:r>
        <w:rPr>
          <w:rFonts w:hint="eastAsia"/>
          <w:sz w:val="28"/>
          <w:szCs w:val="24"/>
          <w:lang w:eastAsia="zh-CN"/>
        </w:rPr>
        <w:t>脱水干化</w:t>
      </w:r>
      <w:r>
        <w:rPr>
          <w:sz w:val="28"/>
          <w:szCs w:val="24"/>
          <w:lang w:eastAsia="zh-CN"/>
        </w:rPr>
        <w:t>：对</w:t>
      </w:r>
      <w:r>
        <w:rPr>
          <w:rFonts w:hint="eastAsia"/>
          <w:sz w:val="28"/>
          <w:szCs w:val="24"/>
          <w:lang w:eastAsia="zh-CN"/>
        </w:rPr>
        <w:t>脱水干化适用范围、技术要点和限制因素</w:t>
      </w:r>
      <w:r>
        <w:rPr>
          <w:sz w:val="28"/>
          <w:szCs w:val="24"/>
          <w:lang w:eastAsia="zh-CN"/>
        </w:rPr>
        <w:t>进行了相关说明。</w:t>
      </w:r>
    </w:p>
    <w:p w14:paraId="404155CC">
      <w:pPr>
        <w:adjustRightInd w:val="0"/>
        <w:snapToGrid w:val="0"/>
        <w:spacing w:line="360" w:lineRule="auto"/>
        <w:ind w:firstLine="560"/>
        <w:rPr>
          <w:sz w:val="28"/>
          <w:szCs w:val="24"/>
          <w:lang w:eastAsia="zh-CN"/>
        </w:rPr>
      </w:pPr>
      <w:r>
        <w:rPr>
          <w:rFonts w:hint="eastAsia"/>
          <w:sz w:val="28"/>
          <w:szCs w:val="24"/>
          <w:lang w:eastAsia="zh-CN"/>
        </w:rPr>
        <w:t>1</w:t>
      </w:r>
      <w:r>
        <w:rPr>
          <w:rFonts w:hint="eastAsia"/>
          <w:sz w:val="28"/>
          <w:szCs w:val="24"/>
          <w:lang w:val="en-US" w:eastAsia="zh-CN"/>
        </w:rPr>
        <w:t>1</w:t>
      </w:r>
      <w:r>
        <w:rPr>
          <w:sz w:val="28"/>
          <w:szCs w:val="24"/>
          <w:lang w:eastAsia="zh-CN"/>
        </w:rPr>
        <w:t xml:space="preserve">. </w:t>
      </w:r>
      <w:r>
        <w:rPr>
          <w:rFonts w:hint="eastAsia"/>
          <w:sz w:val="28"/>
          <w:szCs w:val="24"/>
          <w:lang w:eastAsia="zh-CN"/>
        </w:rPr>
        <w:t>技术比选：对清淤疏浚、底质覆盖、生物修复、化学修复、脱水干化适用条件、技术特点、作用机制、应用难度、技术造价等进行了比较说明</w:t>
      </w:r>
      <w:r>
        <w:rPr>
          <w:sz w:val="28"/>
          <w:szCs w:val="24"/>
          <w:lang w:eastAsia="zh-CN"/>
        </w:rPr>
        <w:t>。</w:t>
      </w:r>
    </w:p>
    <w:p w14:paraId="0D3B19AA">
      <w:pPr>
        <w:pStyle w:val="3"/>
        <w:numPr>
          <w:ilvl w:val="1"/>
          <w:numId w:val="0"/>
        </w:numPr>
        <w:bidi w:val="0"/>
        <w:ind w:left="0" w:leftChars="0" w:firstLine="0" w:firstLineChars="0"/>
      </w:pPr>
      <w:bookmarkStart w:id="45" w:name="_Toc514764256"/>
      <w:bookmarkEnd w:id="45"/>
      <w:bookmarkStart w:id="46" w:name="_Toc512268712"/>
      <w:bookmarkEnd w:id="46"/>
      <w:bookmarkStart w:id="47" w:name="_Toc18292"/>
      <w:bookmarkStart w:id="48" w:name="_Toc511396518"/>
      <w:bookmarkStart w:id="49" w:name="_Toc511507560"/>
      <w:r>
        <w:rPr>
          <w:rFonts w:hint="eastAsia" w:ascii="Times New Roman" w:hAnsi="Times New Roman" w:cs="Times New Roman"/>
          <w:sz w:val="28"/>
          <w:szCs w:val="21"/>
          <w:lang w:val="en-US" w:eastAsia="zh-CN" w:bidi="ar-SA"/>
        </w:rPr>
        <w:t>5.2</w:t>
      </w:r>
      <w:r>
        <w:t>条文说明</w:t>
      </w:r>
      <w:bookmarkEnd w:id="47"/>
    </w:p>
    <w:p w14:paraId="14FC2A1E">
      <w:pPr>
        <w:pStyle w:val="4"/>
        <w:numPr>
          <w:ilvl w:val="2"/>
          <w:numId w:val="0"/>
        </w:numPr>
        <w:bidi w:val="0"/>
        <w:ind w:left="0" w:leftChars="0" w:firstLine="0" w:firstLineChars="0"/>
        <w:rPr>
          <w:rFonts w:hint="eastAsia" w:ascii="Times New Roman" w:hAnsi="Times New Roman" w:eastAsia="宋体" w:cs="Times New Roman"/>
          <w:sz w:val="28"/>
          <w:szCs w:val="32"/>
        </w:rPr>
      </w:pPr>
      <w:bookmarkStart w:id="50" w:name="_Toc25721"/>
      <w:bookmarkStart w:id="51" w:name="_Toc18656"/>
      <w:bookmarkStart w:id="52" w:name="_Toc527835665"/>
      <w:bookmarkStart w:id="53" w:name="_Toc532895630"/>
      <w:bookmarkStart w:id="54" w:name="_Toc523476278"/>
      <w:bookmarkStart w:id="55" w:name="_Toc530065545"/>
      <w:bookmarkStart w:id="56" w:name="_Toc523383853"/>
      <w:r>
        <w:rPr>
          <w:rFonts w:hint="eastAsia" w:ascii="Times New Roman" w:hAnsi="Times New Roman" w:eastAsia="宋体" w:cs="Times New Roman"/>
          <w:sz w:val="28"/>
          <w:szCs w:val="32"/>
          <w:lang w:val="en-US" w:eastAsia="zh-CN"/>
        </w:rPr>
        <w:t>5.2.1</w:t>
      </w:r>
      <w:r>
        <w:rPr>
          <w:rFonts w:hint="eastAsia" w:ascii="Times New Roman" w:hAnsi="Times New Roman" w:eastAsia="宋体" w:cs="Times New Roman"/>
          <w:sz w:val="28"/>
          <w:szCs w:val="32"/>
        </w:rPr>
        <w:t>范围</w:t>
      </w:r>
      <w:bookmarkEnd w:id="50"/>
      <w:bookmarkEnd w:id="51"/>
    </w:p>
    <w:p w14:paraId="3556BAAB">
      <w:pPr>
        <w:pStyle w:val="44"/>
        <w:widowControl w:val="0"/>
        <w:adjustRightInd w:val="0"/>
        <w:snapToGrid w:val="0"/>
        <w:spacing w:line="360" w:lineRule="auto"/>
        <w:ind w:firstLine="560"/>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本指南规定了湖库底质修复的一般要求、修复技术的适用范围、技术要点和限制因素等，属于具有纲领性与原则性指导的技术指南。</w:t>
      </w:r>
    </w:p>
    <w:p w14:paraId="172D9650">
      <w:pPr>
        <w:pStyle w:val="4"/>
        <w:numPr>
          <w:ilvl w:val="2"/>
          <w:numId w:val="0"/>
        </w:numPr>
        <w:bidi w:val="0"/>
        <w:ind w:left="0" w:leftChars="0" w:firstLine="0" w:firstLineChars="0"/>
        <w:rPr>
          <w:rFonts w:hint="eastAsia" w:ascii="Times New Roman" w:hAnsi="Times New Roman" w:eastAsia="宋体" w:cs="Times New Roman"/>
          <w:sz w:val="28"/>
          <w:szCs w:val="32"/>
        </w:rPr>
      </w:pPr>
      <w:bookmarkStart w:id="57" w:name="_Toc29843"/>
      <w:bookmarkStart w:id="58" w:name="_Toc29067"/>
      <w:r>
        <w:rPr>
          <w:rFonts w:hint="eastAsia" w:ascii="Times New Roman" w:hAnsi="Times New Roman" w:eastAsia="宋体" w:cs="Times New Roman"/>
          <w:sz w:val="28"/>
          <w:szCs w:val="32"/>
          <w:lang w:val="en-US" w:eastAsia="zh-CN"/>
        </w:rPr>
        <w:t>5.2.2</w:t>
      </w:r>
      <w:r>
        <w:rPr>
          <w:rFonts w:hint="eastAsia" w:ascii="Times New Roman" w:hAnsi="Times New Roman" w:eastAsia="宋体" w:cs="Times New Roman"/>
          <w:sz w:val="28"/>
          <w:szCs w:val="32"/>
        </w:rPr>
        <w:t>规范性引用文件</w:t>
      </w:r>
      <w:bookmarkEnd w:id="57"/>
      <w:bookmarkEnd w:id="58"/>
    </w:p>
    <w:p w14:paraId="5C64F3DA">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本文件所引用的国家有关标准、规范、指南均为现行且有效的，条文中给出编号，以便于使用时查找。</w:t>
      </w:r>
    </w:p>
    <w:p w14:paraId="06DCCD72">
      <w:pPr>
        <w:pStyle w:val="4"/>
        <w:numPr>
          <w:ilvl w:val="2"/>
          <w:numId w:val="0"/>
        </w:numPr>
        <w:bidi w:val="0"/>
        <w:ind w:left="0" w:leftChars="0" w:firstLine="0" w:firstLineChars="0"/>
        <w:rPr>
          <w:rFonts w:hint="eastAsia" w:ascii="Times New Roman" w:hAnsi="Times New Roman" w:eastAsia="宋体" w:cs="Times New Roman"/>
          <w:sz w:val="28"/>
          <w:szCs w:val="32"/>
        </w:rPr>
      </w:pPr>
      <w:bookmarkStart w:id="59" w:name="_Toc10359"/>
      <w:bookmarkStart w:id="60" w:name="_Toc1638"/>
      <w:r>
        <w:rPr>
          <w:rFonts w:hint="eastAsia" w:ascii="Times New Roman" w:hAnsi="Times New Roman" w:eastAsia="宋体" w:cs="Times New Roman"/>
          <w:sz w:val="28"/>
          <w:szCs w:val="32"/>
          <w:lang w:val="en-US" w:eastAsia="zh-CN"/>
        </w:rPr>
        <w:t>5.2.3</w:t>
      </w:r>
      <w:r>
        <w:rPr>
          <w:rFonts w:hint="eastAsia" w:ascii="Times New Roman" w:hAnsi="Times New Roman" w:eastAsia="宋体" w:cs="Times New Roman"/>
          <w:sz w:val="28"/>
          <w:szCs w:val="32"/>
        </w:rPr>
        <w:t>术语与定义</w:t>
      </w:r>
      <w:bookmarkEnd w:id="59"/>
      <w:bookmarkEnd w:id="60"/>
    </w:p>
    <w:p w14:paraId="1E72C4DF">
      <w:pPr>
        <w:pStyle w:val="44"/>
        <w:widowControl w:val="0"/>
        <w:adjustRightInd w:val="0"/>
        <w:snapToGrid w:val="0"/>
        <w:spacing w:line="360" w:lineRule="auto"/>
        <w:ind w:firstLine="560"/>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本文件</w:t>
      </w:r>
      <w:bookmarkStart w:id="83" w:name="_GoBack"/>
      <w:r>
        <w:rPr>
          <w:rFonts w:hint="eastAsia" w:ascii="Times New Roman" w:hAnsi="Times New Roman" w:eastAsia="宋体" w:cs="Times New Roman"/>
          <w:sz w:val="28"/>
          <w:szCs w:val="32"/>
        </w:rPr>
        <w:t>涉及了</w:t>
      </w:r>
      <w:bookmarkEnd w:id="83"/>
      <w:r>
        <w:rPr>
          <w:rFonts w:hint="eastAsia" w:ascii="Times New Roman" w:hAnsi="Times New Roman" w:eastAsia="宋体" w:cs="Times New Roman"/>
          <w:sz w:val="28"/>
          <w:szCs w:val="32"/>
        </w:rPr>
        <w:t>6个术语和定义。分别为疏浚、干床疏浚、环保清淤、底泥掩蔽、生物修复和微生物修复。</w:t>
      </w:r>
    </w:p>
    <w:p w14:paraId="27DE6EAA">
      <w:pPr>
        <w:pStyle w:val="44"/>
        <w:widowControl w:val="0"/>
        <w:adjustRightInd w:val="0"/>
        <w:snapToGrid w:val="0"/>
        <w:spacing w:line="360" w:lineRule="auto"/>
        <w:ind w:firstLine="560"/>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【文件3.1条文说明】为疏通、扩宽或挖深湖库等水域，用人力或机械进行水下土石方开挖工程。</w:t>
      </w:r>
    </w:p>
    <w:p w14:paraId="456BFE8F">
      <w:pPr>
        <w:pStyle w:val="44"/>
        <w:widowControl w:val="0"/>
        <w:adjustRightInd w:val="0"/>
        <w:snapToGrid w:val="0"/>
        <w:spacing w:line="360" w:lineRule="auto"/>
        <w:ind w:firstLine="560"/>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【文件3.2条文说明】即将湖库水抽/放干，采用挖机或人工开展底泥挖掘，使用机械或人工力量清除湖底表面黑泥。</w:t>
      </w:r>
    </w:p>
    <w:p w14:paraId="2EA039D5">
      <w:pPr>
        <w:pStyle w:val="44"/>
        <w:widowControl w:val="0"/>
        <w:adjustRightInd w:val="0"/>
        <w:snapToGrid w:val="0"/>
        <w:spacing w:line="360" w:lineRule="auto"/>
        <w:ind w:firstLine="560"/>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【文件3.3条文说明】该定义参照《湖泊河流环保疏浚工程技术指南（试行）》（环办〔2014〕111号）中1.3.3的解释。</w:t>
      </w:r>
    </w:p>
    <w:p w14:paraId="34BB1B40">
      <w:pPr>
        <w:pStyle w:val="44"/>
        <w:widowControl w:val="0"/>
        <w:adjustRightInd w:val="0"/>
        <w:snapToGrid w:val="0"/>
        <w:spacing w:line="360" w:lineRule="auto"/>
        <w:ind w:firstLine="560"/>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【文件3.4条文说明】又称底泥覆盖技术，指在污染的底泥上放置覆盖物，使污染底泥与水体间隔离，以阻止底泥污染物向水体中迁移的一种方法。</w:t>
      </w:r>
    </w:p>
    <w:p w14:paraId="79D530BC">
      <w:pPr>
        <w:pStyle w:val="44"/>
        <w:widowControl w:val="0"/>
        <w:adjustRightInd w:val="0"/>
        <w:snapToGrid w:val="0"/>
        <w:spacing w:line="360" w:lineRule="auto"/>
        <w:ind w:firstLine="560"/>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【文件3.5条文说明】该定义参照《湖滨带生态修复工程技术指南（试行）》（环办〔2014〕111号）中1.3.2的解释。</w:t>
      </w:r>
    </w:p>
    <w:p w14:paraId="28CEC864">
      <w:pPr>
        <w:pStyle w:val="44"/>
        <w:widowControl w:val="0"/>
        <w:adjustRightInd w:val="0"/>
        <w:snapToGrid w:val="0"/>
        <w:spacing w:line="360" w:lineRule="auto"/>
        <w:ind w:firstLine="560"/>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【文件3.6条文说明】指利用天然的或经人工驯化的具有特定功能的微生物，在适宜环境条件下，通过自身的代谢作用，降低底泥中有害污染物活性或降解成无害物质的修复。</w:t>
      </w:r>
    </w:p>
    <w:p w14:paraId="2121A37D">
      <w:pPr>
        <w:pStyle w:val="4"/>
        <w:numPr>
          <w:ilvl w:val="2"/>
          <w:numId w:val="0"/>
        </w:numPr>
        <w:bidi w:val="0"/>
        <w:ind w:left="0" w:leftChars="0" w:firstLine="0" w:firstLineChars="0"/>
        <w:rPr>
          <w:rFonts w:hint="eastAsia" w:ascii="Times New Roman" w:hAnsi="Times New Roman" w:eastAsia="宋体" w:cs="Times New Roman"/>
          <w:sz w:val="28"/>
          <w:szCs w:val="32"/>
        </w:rPr>
      </w:pPr>
      <w:bookmarkStart w:id="61" w:name="_Toc6734"/>
      <w:bookmarkStart w:id="62" w:name="_Toc32518"/>
      <w:r>
        <w:rPr>
          <w:rFonts w:hint="eastAsia" w:ascii="Times New Roman" w:hAnsi="Times New Roman" w:eastAsia="宋体" w:cs="Times New Roman"/>
          <w:sz w:val="28"/>
          <w:szCs w:val="32"/>
          <w:lang w:val="en-US" w:eastAsia="zh-CN"/>
        </w:rPr>
        <w:t>5.2.4</w:t>
      </w:r>
      <w:r>
        <w:rPr>
          <w:rFonts w:hint="eastAsia" w:ascii="Times New Roman" w:hAnsi="Times New Roman" w:eastAsia="宋体" w:cs="Times New Roman"/>
          <w:sz w:val="28"/>
          <w:szCs w:val="32"/>
        </w:rPr>
        <w:t>一般规定</w:t>
      </w:r>
      <w:bookmarkEnd w:id="61"/>
      <w:bookmarkEnd w:id="62"/>
    </w:p>
    <w:p w14:paraId="3908E174">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湖库底质修复应遵循长短结合、标本兼治、安全可靠、经济适用的基本原则，根据水体所处水系位置、湖库规模、水质目标、水文地形特点、底质现状、水生态修复目标、水体功能定位、开发利用现状、经济承受能力等具体情况，采用适宜的底质修复模式和工艺技术。</w:t>
      </w:r>
    </w:p>
    <w:p w14:paraId="6E7A65D1">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对拟开展修复的湖库底质应按照HJ/T 166-2004的相关规定进行监测，监测指标参照GB 15618-2018和GB 36600-2018的监测要求进行，修复方法应依据监测结果进行筛选。当采用清淤疏浚等异位处理的底质修复方法时，应科学评估异位处理方法和接纳场所的可行性，以保障处置安全性，避免出现二次污染。</w:t>
      </w:r>
    </w:p>
    <w:p w14:paraId="349836F0">
      <w:pPr>
        <w:pStyle w:val="4"/>
        <w:numPr>
          <w:ilvl w:val="2"/>
          <w:numId w:val="0"/>
        </w:numPr>
        <w:bidi w:val="0"/>
        <w:ind w:left="0" w:leftChars="0" w:firstLine="0" w:firstLineChars="0"/>
        <w:rPr>
          <w:rFonts w:hint="default" w:ascii="Times New Roman" w:hAnsi="Times New Roman" w:eastAsia="宋体" w:cs="Times New Roman"/>
          <w:sz w:val="28"/>
          <w:szCs w:val="32"/>
          <w:lang w:val="en-US" w:eastAsia="zh-CN"/>
        </w:rPr>
      </w:pPr>
      <w:bookmarkStart w:id="63" w:name="_Toc7957"/>
      <w:bookmarkStart w:id="64" w:name="_Toc4888"/>
      <w:r>
        <w:rPr>
          <w:rFonts w:hint="eastAsia" w:ascii="Times New Roman" w:hAnsi="Times New Roman" w:eastAsia="宋体" w:cs="Times New Roman"/>
          <w:sz w:val="28"/>
          <w:szCs w:val="32"/>
          <w:lang w:val="en-US" w:eastAsia="zh-CN"/>
        </w:rPr>
        <w:t>5.2.5工作流程</w:t>
      </w:r>
      <w:bookmarkEnd w:id="63"/>
      <w:bookmarkEnd w:id="64"/>
    </w:p>
    <w:p w14:paraId="201CFB58">
      <w:pPr>
        <w:pStyle w:val="44"/>
        <w:widowControl w:val="0"/>
        <w:adjustRightInd w:val="0"/>
        <w:snapToGrid w:val="0"/>
        <w:spacing w:line="360" w:lineRule="auto"/>
        <w:ind w:firstLine="560"/>
        <w:rPr>
          <w:rFonts w:hint="default" w:ascii="Times New Roman" w:hAnsi="Times New Roman" w:eastAsia="宋体" w:cs="Times New Roman"/>
          <w:sz w:val="28"/>
          <w:szCs w:val="32"/>
          <w:lang w:val="en-US" w:eastAsia="zh-CN"/>
        </w:rPr>
      </w:pPr>
      <w:r>
        <w:rPr>
          <w:rFonts w:hint="eastAsia" w:ascii="Times New Roman" w:hAnsi="Times New Roman" w:eastAsia="宋体" w:cs="Times New Roman"/>
          <w:sz w:val="28"/>
          <w:szCs w:val="32"/>
          <w:lang w:val="en-US" w:eastAsia="zh-CN"/>
        </w:rPr>
        <w:t>本条文对湖库底质修复工作流程进行了相关说明。</w:t>
      </w:r>
    </w:p>
    <w:p w14:paraId="0FAD70BB">
      <w:pPr>
        <w:pStyle w:val="4"/>
        <w:numPr>
          <w:ilvl w:val="2"/>
          <w:numId w:val="0"/>
        </w:numPr>
        <w:bidi w:val="0"/>
        <w:ind w:left="0" w:leftChars="0" w:firstLine="0" w:firstLineChars="0"/>
        <w:rPr>
          <w:rFonts w:hint="eastAsia" w:ascii="Times New Roman" w:hAnsi="Times New Roman" w:eastAsia="宋体" w:cs="Times New Roman"/>
          <w:sz w:val="28"/>
          <w:szCs w:val="32"/>
        </w:rPr>
      </w:pPr>
      <w:bookmarkStart w:id="65" w:name="_Hlk95498503"/>
      <w:bookmarkStart w:id="66" w:name="_Toc9314"/>
      <w:bookmarkStart w:id="67" w:name="_Toc18278"/>
      <w:r>
        <w:rPr>
          <w:rFonts w:hint="eastAsia" w:ascii="Times New Roman" w:hAnsi="Times New Roman" w:eastAsia="宋体" w:cs="Times New Roman"/>
          <w:sz w:val="28"/>
          <w:szCs w:val="32"/>
          <w:lang w:val="en-US" w:eastAsia="zh-CN"/>
        </w:rPr>
        <w:t>5.2.6</w:t>
      </w:r>
      <w:r>
        <w:rPr>
          <w:rFonts w:hint="eastAsia" w:ascii="Times New Roman" w:hAnsi="Times New Roman" w:eastAsia="宋体" w:cs="Times New Roman"/>
          <w:sz w:val="28"/>
          <w:szCs w:val="32"/>
        </w:rPr>
        <w:t>清淤疏浚</w:t>
      </w:r>
      <w:bookmarkEnd w:id="65"/>
      <w:bookmarkEnd w:id="66"/>
      <w:bookmarkEnd w:id="67"/>
    </w:p>
    <w:p w14:paraId="7589B391">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本文件对清淤疏浚的适用范围、技术要点和限制因素进行了相关说明。</w:t>
      </w:r>
    </w:p>
    <w:p w14:paraId="36012D54">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6</w:t>
      </w:r>
      <w:r>
        <w:rPr>
          <w:rFonts w:hint="eastAsia" w:ascii="Times New Roman" w:hAnsi="Times New Roman" w:eastAsia="宋体" w:cs="Times New Roman"/>
          <w:sz w:val="28"/>
          <w:szCs w:val="32"/>
          <w:lang w:eastAsia="zh-CN"/>
        </w:rPr>
        <w:t>.1条文说明】适用于底泥肥沃、内源释放高局部淤积严重的水体。</w:t>
      </w:r>
    </w:p>
    <w:p w14:paraId="699843FD">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6</w:t>
      </w:r>
      <w:r>
        <w:rPr>
          <w:rFonts w:hint="eastAsia" w:ascii="Times New Roman" w:hAnsi="Times New Roman" w:eastAsia="宋体" w:cs="Times New Roman"/>
          <w:sz w:val="28"/>
          <w:szCs w:val="32"/>
          <w:lang w:eastAsia="zh-CN"/>
        </w:rPr>
        <w:t>.2条文说明】清淤前，需做好底泥污染调查，明确疏浚范围和疏浚深度；根据当地气候和降雨特征，合理选择底泥清淤季节。干挖清淤时，待作业区水排干后，大多数情况采用挖掘机进行开挖，挖出的淤泥直接由渣土车外运或者放置于岸上的临时堆放点。堆放点需配有污泥脱水设备，经处理后淤泥可正式外运，清液收集或处理后回流湖库。水力冲挖清淤时，多采用水力冲挖机组的高压水枪冲刷底泥，将底泥扰动成泥浆，流动的泥浆汇集到事先设置好的低洼区，由泥泵吸取、管道输送，将泥浆输送至岸上的堆场或集浆池内，堆放点配有污泥脱水设备。清淤疏浚后的底泥可资源化处理，一是工程用途方面，可用于港湾、机场和住宅等的基础建设；二是农业和林业用途方面，可当作肥料用于农田菜地和城市绿化；三是建筑用途方面，可用于烧制粘土陶粒和瓷质砖，或配置混凝土等。</w:t>
      </w:r>
    </w:p>
    <w:p w14:paraId="7CF1303B">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6</w:t>
      </w:r>
      <w:r>
        <w:rPr>
          <w:rFonts w:hint="eastAsia" w:ascii="Times New Roman" w:hAnsi="Times New Roman" w:eastAsia="宋体" w:cs="Times New Roman"/>
          <w:sz w:val="28"/>
          <w:szCs w:val="32"/>
          <w:lang w:eastAsia="zh-CN"/>
        </w:rPr>
        <w:t>.3条文说明】应合理控制疏浚深度，过深容易破坏底质水生生态，过浅不能彻底清除底泥污染物；高温季节疏浚后容易导致形成黑色块状漂泥；底泥运输和处理处置难度较大，存在二次污染风险，需要按规定安全处理处置。清淤疏浚过程中，干挖清淤和水力冲挖清淤均采用机械、人工的方式清除水体底部淤泥，在清除淤泥的同时，需要通过脱水设备对高含水率的淤泥进行脱水处理，脱水过程所产生的清液水中含有机物的浓度较高，若不及时处理，会对环境造成新的污染。</w:t>
      </w:r>
    </w:p>
    <w:p w14:paraId="7E8BD1EB">
      <w:pPr>
        <w:pStyle w:val="4"/>
        <w:numPr>
          <w:ilvl w:val="2"/>
          <w:numId w:val="0"/>
        </w:numPr>
        <w:bidi w:val="0"/>
        <w:ind w:left="0" w:leftChars="0" w:firstLine="0" w:firstLineChars="0"/>
        <w:rPr>
          <w:rFonts w:hint="eastAsia" w:ascii="Times New Roman" w:hAnsi="Times New Roman" w:eastAsia="宋体" w:cs="Times New Roman"/>
          <w:sz w:val="28"/>
          <w:szCs w:val="32"/>
        </w:rPr>
      </w:pPr>
      <w:bookmarkStart w:id="68" w:name="_Toc12795"/>
      <w:bookmarkStart w:id="69" w:name="_Toc23017"/>
      <w:r>
        <w:rPr>
          <w:rFonts w:hint="eastAsia" w:ascii="Times New Roman" w:hAnsi="Times New Roman" w:eastAsia="宋体" w:cs="Times New Roman"/>
          <w:sz w:val="28"/>
          <w:szCs w:val="32"/>
          <w:lang w:val="en-US" w:eastAsia="zh-CN"/>
        </w:rPr>
        <w:t>5.2.7底质覆盖</w:t>
      </w:r>
      <w:bookmarkEnd w:id="68"/>
      <w:bookmarkEnd w:id="69"/>
    </w:p>
    <w:p w14:paraId="7D96310D">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7</w:t>
      </w:r>
      <w:r>
        <w:rPr>
          <w:rFonts w:hint="eastAsia" w:ascii="Times New Roman" w:hAnsi="Times New Roman" w:eastAsia="宋体" w:cs="Times New Roman"/>
          <w:sz w:val="28"/>
          <w:szCs w:val="32"/>
          <w:lang w:eastAsia="zh-CN"/>
        </w:rPr>
        <w:t>.1条文说明】适于湖库水力条件或风浪对底质冲蚀力度小，底部地形能支持覆盖层，水深较深湖库局部区域。</w:t>
      </w:r>
    </w:p>
    <w:p w14:paraId="1C9FA90E">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7</w:t>
      </w:r>
      <w:r>
        <w:rPr>
          <w:rFonts w:hint="eastAsia" w:ascii="Times New Roman" w:hAnsi="Times New Roman" w:eastAsia="宋体" w:cs="Times New Roman"/>
          <w:sz w:val="28"/>
          <w:szCs w:val="32"/>
          <w:lang w:eastAsia="zh-CN"/>
        </w:rPr>
        <w:t>.2条文说明】在污染的底泥上放置覆盖物，使污染底泥与水体间隔离，以阻止底泥污染物向水体中迁移的一种方法。其采用的覆盖物主要有清洁的底泥、沙、砾石或一些复杂的人造地基材料等。</w:t>
      </w:r>
    </w:p>
    <w:p w14:paraId="71689700">
      <w:pPr>
        <w:pStyle w:val="44"/>
        <w:widowControl w:val="0"/>
        <w:adjustRightInd w:val="0"/>
        <w:snapToGrid w:val="0"/>
        <w:spacing w:line="360" w:lineRule="auto"/>
        <w:ind w:firstLine="560"/>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【文件</w:t>
      </w:r>
      <w:r>
        <w:rPr>
          <w:rFonts w:hint="eastAsia" w:ascii="Times New Roman" w:hAnsi="Times New Roman" w:eastAsia="宋体" w:cs="Times New Roman"/>
          <w:sz w:val="28"/>
          <w:szCs w:val="32"/>
          <w:lang w:val="en-US" w:eastAsia="zh-CN"/>
        </w:rPr>
        <w:t>7</w:t>
      </w:r>
      <w:r>
        <w:rPr>
          <w:rFonts w:hint="eastAsia" w:ascii="Times New Roman" w:hAnsi="Times New Roman" w:eastAsia="宋体" w:cs="Times New Roman"/>
          <w:sz w:val="28"/>
          <w:szCs w:val="32"/>
        </w:rPr>
        <w:t>.3条文说明】污染物留在原处，不能彻底解决底泥污染问题；底泥覆盖后水体库容减少；不易大面积实施；底泥中生物多样性减少；覆盖层易受强水流或风浪侵蚀。</w:t>
      </w:r>
    </w:p>
    <w:p w14:paraId="2D566A31">
      <w:pPr>
        <w:pStyle w:val="4"/>
        <w:numPr>
          <w:ilvl w:val="2"/>
          <w:numId w:val="0"/>
        </w:numPr>
        <w:bidi w:val="0"/>
        <w:ind w:left="0" w:leftChars="0" w:firstLine="0" w:firstLineChars="0"/>
        <w:rPr>
          <w:rFonts w:hint="eastAsia" w:ascii="Times New Roman" w:hAnsi="Times New Roman" w:eastAsia="宋体" w:cs="Times New Roman"/>
          <w:sz w:val="28"/>
          <w:szCs w:val="32"/>
        </w:rPr>
      </w:pPr>
      <w:bookmarkStart w:id="70" w:name="_Toc1761"/>
      <w:bookmarkStart w:id="71" w:name="_Toc12750"/>
      <w:r>
        <w:rPr>
          <w:rFonts w:hint="eastAsia" w:ascii="Times New Roman" w:hAnsi="Times New Roman" w:eastAsia="宋体" w:cs="Times New Roman"/>
          <w:sz w:val="28"/>
          <w:szCs w:val="32"/>
          <w:lang w:val="en-US" w:eastAsia="zh-CN"/>
        </w:rPr>
        <w:t>5.2.8</w:t>
      </w:r>
      <w:r>
        <w:rPr>
          <w:rFonts w:hint="eastAsia" w:ascii="Times New Roman" w:hAnsi="Times New Roman" w:eastAsia="宋体" w:cs="Times New Roman"/>
          <w:sz w:val="28"/>
          <w:szCs w:val="32"/>
        </w:rPr>
        <w:t>生物修复</w:t>
      </w:r>
      <w:bookmarkEnd w:id="70"/>
      <w:bookmarkEnd w:id="71"/>
    </w:p>
    <w:p w14:paraId="2FD35E00">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8</w:t>
      </w:r>
      <w:r>
        <w:rPr>
          <w:rFonts w:hint="eastAsia" w:ascii="Times New Roman" w:hAnsi="Times New Roman" w:eastAsia="宋体" w:cs="Times New Roman"/>
          <w:sz w:val="28"/>
          <w:szCs w:val="32"/>
          <w:lang w:eastAsia="zh-CN"/>
        </w:rPr>
        <w:t>.1条文说明】生物修复适合于面积较大、底泥污染负荷较低，水质相对良好，周边难以开展清淤疏浚的水体的修复。</w:t>
      </w:r>
    </w:p>
    <w:p w14:paraId="4D56877E">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8</w:t>
      </w:r>
      <w:r>
        <w:rPr>
          <w:rFonts w:hint="eastAsia" w:ascii="Times New Roman" w:hAnsi="Times New Roman" w:eastAsia="宋体" w:cs="Times New Roman"/>
          <w:sz w:val="28"/>
          <w:szCs w:val="32"/>
          <w:lang w:eastAsia="zh-CN"/>
        </w:rPr>
        <w:t>.2条文说明】生物修复的操作方法有生物通气法、生物注气法和生物冲淋法等。生物修复按其主体可分为植物修复、微生物修复和动物修复。种植水生植物，利用其根茎控制底泥中营养物释放的是植物修复的主要方式，且由于根系周围渗出液的存在，为微生物提供了栖息环境。</w:t>
      </w:r>
    </w:p>
    <w:p w14:paraId="001C223C">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采用人工驯化、固定化微生物和转基因工程菌种能够成功降解底泥中的有机污染物。当水域或附近水域的水环境功能为饮用水水源时，从生物安全的角度考虑，应避免使用微生物修复技术。动物修复即采用生物操纵的方式，通过投放底栖动物，包括螺类、贝类、虾类等，形成完善底栖生物群落，增强生物群落对湖库底泥的滤食作用，减少淤泥中有机质成分，提高水体透明度，改善水质</w:t>
      </w:r>
    </w:p>
    <w:p w14:paraId="00ACE9F6">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8</w:t>
      </w:r>
      <w:r>
        <w:rPr>
          <w:rFonts w:hint="eastAsia" w:ascii="Times New Roman" w:hAnsi="Times New Roman" w:eastAsia="宋体" w:cs="Times New Roman"/>
          <w:sz w:val="28"/>
          <w:szCs w:val="32"/>
          <w:lang w:eastAsia="zh-CN"/>
        </w:rPr>
        <w:t>.3条文说明】生物修复法面临生物入侵风险，严格限制外来入侵种的投放；对于污染严重的水域培养或繁殖微生物具有较大困难。</w:t>
      </w:r>
    </w:p>
    <w:p w14:paraId="29E7CEBD">
      <w:pPr>
        <w:pStyle w:val="4"/>
        <w:numPr>
          <w:ilvl w:val="2"/>
          <w:numId w:val="0"/>
        </w:numPr>
        <w:bidi w:val="0"/>
        <w:ind w:left="0" w:leftChars="0" w:firstLine="0" w:firstLineChars="0"/>
        <w:rPr>
          <w:rFonts w:hint="eastAsia" w:ascii="Times New Roman" w:hAnsi="Times New Roman" w:eastAsia="宋体" w:cs="Times New Roman"/>
          <w:sz w:val="28"/>
          <w:szCs w:val="32"/>
        </w:rPr>
      </w:pPr>
      <w:bookmarkStart w:id="72" w:name="_Toc25287"/>
      <w:bookmarkStart w:id="73" w:name="_Toc19599"/>
      <w:r>
        <w:rPr>
          <w:rFonts w:hint="eastAsia" w:ascii="Times New Roman" w:hAnsi="Times New Roman" w:eastAsia="宋体" w:cs="Times New Roman"/>
          <w:sz w:val="28"/>
          <w:szCs w:val="32"/>
          <w:lang w:val="en-US" w:eastAsia="zh-CN"/>
        </w:rPr>
        <w:t>5.2.9</w:t>
      </w:r>
      <w:r>
        <w:rPr>
          <w:rFonts w:hint="eastAsia" w:ascii="Times New Roman" w:hAnsi="Times New Roman" w:eastAsia="宋体" w:cs="Times New Roman"/>
          <w:sz w:val="28"/>
          <w:szCs w:val="32"/>
        </w:rPr>
        <w:t>化学修复</w:t>
      </w:r>
      <w:bookmarkEnd w:id="72"/>
      <w:bookmarkEnd w:id="73"/>
    </w:p>
    <w:p w14:paraId="0376768D">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9</w:t>
      </w:r>
      <w:r>
        <w:rPr>
          <w:rFonts w:hint="eastAsia" w:ascii="Times New Roman" w:hAnsi="Times New Roman" w:eastAsia="宋体" w:cs="Times New Roman"/>
          <w:sz w:val="28"/>
          <w:szCs w:val="32"/>
          <w:lang w:eastAsia="zh-CN"/>
        </w:rPr>
        <w:t>.1条文说明】一般适用于底质污染较重的非人体直接接触水体，对受到重金属污染的底质效果更好。</w:t>
      </w:r>
    </w:p>
    <w:p w14:paraId="08343C0E">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9</w:t>
      </w:r>
      <w:r>
        <w:rPr>
          <w:rFonts w:hint="eastAsia" w:ascii="Times New Roman" w:hAnsi="Times New Roman" w:eastAsia="宋体" w:cs="Times New Roman"/>
          <w:sz w:val="28"/>
          <w:szCs w:val="32"/>
          <w:lang w:eastAsia="zh-CN"/>
        </w:rPr>
        <w:t>.2条文说明】利用化学试剂和底泥中的离子发生化学反应，使其转变为无毒无害的化学形态存在于水体中。添加的水处理化学品包括熟石灰、二氧化碳、硫酸、氯气等简单的无机化合物，也包括硫酸铜、PAM絮凝剂等结构复杂的化学药剂。</w:t>
      </w:r>
    </w:p>
    <w:p w14:paraId="5AE7EA15">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9</w:t>
      </w:r>
      <w:r>
        <w:rPr>
          <w:rFonts w:hint="eastAsia" w:ascii="Times New Roman" w:hAnsi="Times New Roman" w:eastAsia="宋体" w:cs="Times New Roman"/>
          <w:sz w:val="28"/>
          <w:szCs w:val="32"/>
          <w:lang w:eastAsia="zh-CN"/>
        </w:rPr>
        <w:t>.3条文说明】对药剂投加量需经计算后严格控制，避免产生二次污染，产生公共安全隐患。</w:t>
      </w:r>
    </w:p>
    <w:p w14:paraId="5B96B455">
      <w:pPr>
        <w:pStyle w:val="4"/>
        <w:numPr>
          <w:ilvl w:val="2"/>
          <w:numId w:val="0"/>
        </w:numPr>
        <w:bidi w:val="0"/>
        <w:ind w:left="0" w:leftChars="0" w:firstLine="0" w:firstLineChars="0"/>
        <w:rPr>
          <w:rFonts w:hint="eastAsia" w:ascii="Times New Roman" w:hAnsi="Times New Roman" w:eastAsia="宋体" w:cs="Times New Roman"/>
          <w:sz w:val="28"/>
          <w:szCs w:val="32"/>
        </w:rPr>
      </w:pPr>
      <w:bookmarkStart w:id="74" w:name="_Toc13849"/>
      <w:bookmarkStart w:id="75" w:name="_Toc12559"/>
      <w:r>
        <w:rPr>
          <w:rFonts w:hint="eastAsia" w:ascii="Times New Roman" w:hAnsi="Times New Roman" w:eastAsia="宋体" w:cs="Times New Roman"/>
          <w:sz w:val="28"/>
          <w:szCs w:val="32"/>
          <w:lang w:val="en-US" w:eastAsia="zh-CN"/>
        </w:rPr>
        <w:t>5.2.10</w:t>
      </w:r>
      <w:r>
        <w:rPr>
          <w:rFonts w:hint="eastAsia" w:ascii="Times New Roman" w:hAnsi="Times New Roman" w:eastAsia="宋体" w:cs="Times New Roman"/>
          <w:sz w:val="28"/>
          <w:szCs w:val="32"/>
        </w:rPr>
        <w:t>脱水干化</w:t>
      </w:r>
      <w:bookmarkEnd w:id="74"/>
      <w:bookmarkEnd w:id="75"/>
    </w:p>
    <w:p w14:paraId="72BDD0DC">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10</w:t>
      </w:r>
      <w:r>
        <w:rPr>
          <w:rFonts w:hint="eastAsia" w:ascii="Times New Roman" w:hAnsi="Times New Roman" w:eastAsia="宋体" w:cs="Times New Roman"/>
          <w:sz w:val="28"/>
          <w:szCs w:val="32"/>
          <w:lang w:eastAsia="zh-CN"/>
        </w:rPr>
        <w:t>.1条文说明】适用于疏浚过程中产生的大量污染底泥的脱水和快速干化。</w:t>
      </w:r>
    </w:p>
    <w:p w14:paraId="03DC91DE">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10</w:t>
      </w:r>
      <w:r>
        <w:rPr>
          <w:rFonts w:hint="eastAsia" w:ascii="Times New Roman" w:hAnsi="Times New Roman" w:eastAsia="宋体" w:cs="Times New Roman"/>
          <w:sz w:val="28"/>
          <w:szCs w:val="32"/>
          <w:lang w:eastAsia="zh-CN"/>
        </w:rPr>
        <w:t>.2条文说明】可通过日照蒸发、风干、自然下渗等途径自然干化。可在堆场内设置各种形式的排水系统，将雨水顺利排出堆场以提高疏浚底泥自然条件下脱水干化效率。可通过离心和压滤机械脱水。在高速旋转产生的离心力和压力作用下将底泥脱水，压力越大，污泥脱水效越好，但是压力过大时，容易造成跑料。可通过土工管袋脱水法是将疏浚底泥输送进入土工布袋中，通过加压促使底泥水分脱除。可通过投加生石灰和粉煤灰等固化剂对泥浆进行脱水，主要应用在处理城市污水处理厂的污泥中。需在疏浚底泥堆场底部设置收集池，通过底泥颗粒的沉降和压缩出自由水，经处理后排出。</w:t>
      </w:r>
    </w:p>
    <w:p w14:paraId="652749DE">
      <w:pPr>
        <w:pStyle w:val="44"/>
        <w:widowControl w:val="0"/>
        <w:adjustRightInd w:val="0"/>
        <w:snapToGrid w:val="0"/>
        <w:spacing w:line="360" w:lineRule="auto"/>
        <w:ind w:firstLine="560"/>
        <w:rPr>
          <w:rFonts w:hint="eastAsia" w:ascii="Times New Roman" w:hAnsi="Times New Roman" w:eastAsia="宋体" w:cs="Times New Roman"/>
          <w:sz w:val="28"/>
          <w:szCs w:val="32"/>
          <w:lang w:eastAsia="zh-CN"/>
        </w:rPr>
      </w:pPr>
      <w:r>
        <w:rPr>
          <w:rFonts w:hint="eastAsia" w:ascii="Times New Roman" w:hAnsi="Times New Roman" w:eastAsia="宋体" w:cs="Times New Roman"/>
          <w:sz w:val="28"/>
          <w:szCs w:val="32"/>
          <w:lang w:eastAsia="zh-CN"/>
        </w:rPr>
        <w:t>【文件</w:t>
      </w:r>
      <w:r>
        <w:rPr>
          <w:rFonts w:hint="eastAsia" w:ascii="Times New Roman" w:hAnsi="Times New Roman" w:eastAsia="宋体" w:cs="Times New Roman"/>
          <w:sz w:val="28"/>
          <w:szCs w:val="32"/>
          <w:lang w:val="en-US" w:eastAsia="zh-CN"/>
        </w:rPr>
        <w:t>10</w:t>
      </w:r>
      <w:r>
        <w:rPr>
          <w:rFonts w:hint="eastAsia" w:ascii="Times New Roman" w:hAnsi="Times New Roman" w:eastAsia="宋体" w:cs="Times New Roman"/>
          <w:sz w:val="28"/>
          <w:szCs w:val="32"/>
          <w:lang w:eastAsia="zh-CN"/>
        </w:rPr>
        <w:t>.3条文说明】自然干化需要时间长，而且受气候影响很大。长期占用干化堆场，造成土地资源的闲置浪费，并且会带来一定的安全隐患。机械脱水法处理疏浚底泥效果良好，但是由于能耗巨大，相应的处理成本很高，应用范围有限，仅适用于经济发达地区，且在疏浚工程附近没有可利用土地资源的条件下才有可能被使用。土工管袋法效果良好，但由于其工艺特点和偏高的处理费用，再加上疏浚底泥中细颗粒所占的比例较大，容易造成管袋堵塞，降低脱水干化效果，使得土工管袋法的应用范围有所限制。投加固化剂法则由于固化剂投加量大，增加了最终产生的底泥体积，并且固化后底泥的最终处置也是需要事先解决的问题。底部排水法需要提前在堆场中布设排水设施，且底部排水作用能力有限，堆场的高度受到限制。</w:t>
      </w:r>
    </w:p>
    <w:p w14:paraId="74B060C5">
      <w:pPr>
        <w:pStyle w:val="4"/>
        <w:numPr>
          <w:ilvl w:val="2"/>
          <w:numId w:val="0"/>
        </w:numPr>
        <w:bidi w:val="0"/>
        <w:ind w:left="0" w:leftChars="0" w:firstLine="0" w:firstLineChars="0"/>
        <w:rPr>
          <w:rFonts w:hint="eastAsia" w:ascii="Times New Roman" w:hAnsi="Times New Roman" w:eastAsia="宋体" w:cs="Times New Roman"/>
          <w:sz w:val="28"/>
          <w:szCs w:val="32"/>
        </w:rPr>
      </w:pPr>
      <w:bookmarkStart w:id="76" w:name="_Toc29353"/>
      <w:bookmarkStart w:id="77" w:name="_Toc16649"/>
      <w:r>
        <w:rPr>
          <w:rFonts w:hint="eastAsia" w:ascii="Times New Roman" w:hAnsi="Times New Roman" w:eastAsia="宋体" w:cs="Times New Roman"/>
          <w:sz w:val="28"/>
          <w:szCs w:val="32"/>
          <w:lang w:val="en-US" w:eastAsia="zh-CN"/>
        </w:rPr>
        <w:t>5.2.11</w:t>
      </w:r>
      <w:r>
        <w:rPr>
          <w:rFonts w:hint="eastAsia" w:ascii="Times New Roman" w:hAnsi="Times New Roman" w:eastAsia="宋体" w:cs="Times New Roman"/>
          <w:sz w:val="28"/>
          <w:szCs w:val="32"/>
        </w:rPr>
        <w:t>技术比选</w:t>
      </w:r>
      <w:bookmarkEnd w:id="76"/>
      <w:bookmarkEnd w:id="77"/>
    </w:p>
    <w:p w14:paraId="0BEE6CA2">
      <w:pPr>
        <w:pStyle w:val="44"/>
        <w:widowControl w:val="0"/>
        <w:adjustRightInd w:val="0"/>
        <w:snapToGrid w:val="0"/>
        <w:spacing w:line="360" w:lineRule="auto"/>
        <w:ind w:firstLine="560"/>
        <w:rPr>
          <w:rFonts w:hint="default" w:ascii="Times New Roman" w:hAnsi="Times New Roman" w:eastAsia="宋体" w:cs="Times New Roman"/>
          <w:sz w:val="28"/>
          <w:szCs w:val="32"/>
          <w:lang w:val="en-US" w:eastAsia="zh-CN"/>
        </w:rPr>
      </w:pPr>
      <w:r>
        <w:rPr>
          <w:rFonts w:hint="eastAsia" w:ascii="Times New Roman" w:hAnsi="Times New Roman" w:eastAsia="宋体" w:cs="Times New Roman"/>
          <w:sz w:val="28"/>
          <w:szCs w:val="32"/>
          <w:lang w:eastAsia="zh-CN"/>
        </w:rPr>
        <w:t>对清淤疏浚、底质覆盖、生物修复、化学修复、脱水干化适用条件、技术特点、作用机制、应用难度、技术造价等进行了比较说明。</w:t>
      </w:r>
    </w:p>
    <w:bookmarkEnd w:id="52"/>
    <w:bookmarkEnd w:id="53"/>
    <w:bookmarkEnd w:id="54"/>
    <w:bookmarkEnd w:id="55"/>
    <w:bookmarkEnd w:id="56"/>
    <w:p w14:paraId="0A6A6304">
      <w:pPr>
        <w:pStyle w:val="2"/>
        <w:numPr>
          <w:ilvl w:val="0"/>
          <w:numId w:val="0"/>
        </w:numPr>
        <w:bidi w:val="0"/>
        <w:ind w:left="0" w:leftChars="0" w:firstLine="0" w:firstLineChars="0"/>
        <w:rPr>
          <w:rFonts w:hint="eastAsia" w:ascii="Times New Roman" w:hAnsi="Times New Roman" w:cs="Times New Roman"/>
          <w:lang w:eastAsia="zh-CN"/>
        </w:rPr>
      </w:pPr>
      <w:bookmarkStart w:id="78" w:name="_Toc1367"/>
      <w:r>
        <w:rPr>
          <w:rFonts w:hint="eastAsia" w:ascii="Times New Roman" w:hAnsi="Times New Roman" w:cs="Times New Roman"/>
          <w:lang w:val="en-US" w:eastAsia="zh-CN"/>
        </w:rPr>
        <w:t>六、</w:t>
      </w:r>
      <w:r>
        <w:rPr>
          <w:rFonts w:hint="eastAsia" w:ascii="Times New Roman" w:hAnsi="Times New Roman" w:cs="Times New Roman"/>
          <w:lang w:eastAsia="zh-CN"/>
        </w:rPr>
        <w:t>国内外标准情况、与国际标准一致性程度情况</w:t>
      </w:r>
      <w:bookmarkEnd w:id="78"/>
    </w:p>
    <w:p w14:paraId="508406BD">
      <w:pPr>
        <w:pStyle w:val="3"/>
        <w:keepNext w:val="0"/>
        <w:keepLines w:val="0"/>
        <w:numPr>
          <w:ilvl w:val="1"/>
          <w:numId w:val="0"/>
        </w:numPr>
        <w:adjustRightInd w:val="0"/>
        <w:snapToGrid w:val="0"/>
        <w:spacing w:before="0" w:beforeLines="0" w:after="0" w:afterLines="0" w:line="360" w:lineRule="auto"/>
        <w:ind w:left="0" w:leftChars="0" w:firstLine="0" w:firstLineChars="0"/>
        <w:rPr>
          <w:rFonts w:hint="eastAsia" w:ascii="Times New Roman" w:hAnsi="Times New Roman" w:cs="Times New Roman"/>
          <w:sz w:val="28"/>
          <w:szCs w:val="24"/>
          <w:lang w:val="en-US" w:eastAsia="zh-CN"/>
        </w:rPr>
      </w:pPr>
      <w:bookmarkStart w:id="79" w:name="_Toc28075"/>
      <w:r>
        <w:rPr>
          <w:rFonts w:hint="eastAsia" w:ascii="Times New Roman" w:hAnsi="Times New Roman" w:cs="Times New Roman"/>
          <w:sz w:val="28"/>
          <w:szCs w:val="24"/>
          <w:lang w:val="en-US" w:eastAsia="zh-CN"/>
        </w:rPr>
        <w:t>6.1国内标准情况</w:t>
      </w:r>
      <w:bookmarkEnd w:id="79"/>
    </w:p>
    <w:p w14:paraId="34AE438D">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浙江省湖库生态缓冲带划定与生态修复技术指南（试行）》于2020年11月13日由浙江省生态环境厅、浙江省治水办(河长办)联合印发，为浙江省各地开展湖库生态缓冲带保护和修复工作提供了有效技术支撑。该指南在识别自然和人为影响的基础上，遵循客观差异性和分区分类的原则，将浙江省的湖（库）滨带分为大堤型、农田型、养殖塘型、村落型、山体型、景区型、道路型、河口型、平缓滩地型、生物廊道型、岩石型11种类型，将湖库缓冲区分为平原林地型、山体型、农田型、村落型、景区型、城镇型、养殖塘型、地下水潜水层保护型8种类型，提出分类型进行宽度划定和分类修复的生态技术模式，有针对性地指导湖库生态缓冲带宽度划定，制定合理划定方案及采用适宜的生态修复措施。</w:t>
      </w:r>
    </w:p>
    <w:p w14:paraId="33AC6116">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为系统整合重庆市湖库生态修复适宜技术，指导重庆地区城市湖库的水环境治理、水环境质量提升、水生生态系统恢复等工作，重庆市环境保护局于2017年12月29日印发了《重庆市湖库生态修复适宜技术选择指南（2017版）》，该指南针对重庆地区山地地形复杂、地形坡度大、地表径流流速大、山地河湖贯通格局较多等特点，针对性提出了适宜重庆地区的点源污染、面源污染、内源污染、水体自净能力恢复等湖库生态修复适宜技术，并对湖库管理与长效保持措施提出了指导。</w:t>
      </w:r>
    </w:p>
    <w:p w14:paraId="254771CF">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2014年，环保部印发了《湖泊生态环境保护系列技术指南之四—湖滨带生态修复工程技术指南》，该指南以湖滨带生态功能保护为核心，提出湖滨带生态环境调查与问题诊断、生态修复总体设计、生态修复工艺、湖滨带生态修复工程维护管理、投资估算、生态环境效益评估等方面的技术方法。该指南对于指导各地开展湖滨带生态环境保护工作，改善湖滨生态环境，减少入湖污染负荷，为维护湖泊及流域生态系统健康提供保障。</w:t>
      </w:r>
    </w:p>
    <w:p w14:paraId="75C34D8F">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为贯彻落实党中央、国务院关于统筹推进山水林田湖草一体化保护和修复的部署要求，指导和规范各地山水林田湖草生态保护修复工程实施，自然资源部、财政部、生态环境部制定了《山水林田湖草生态保护修复工程指南（试行）》，指南涵盖工程建设内容和保护修复要求、监测评估和适应性管理、工程管理要求等内容。</w:t>
      </w:r>
    </w:p>
    <w:p w14:paraId="69965077">
      <w:pPr>
        <w:pStyle w:val="3"/>
        <w:keepNext w:val="0"/>
        <w:keepLines w:val="0"/>
        <w:numPr>
          <w:ilvl w:val="1"/>
          <w:numId w:val="0"/>
        </w:numPr>
        <w:adjustRightInd w:val="0"/>
        <w:snapToGrid w:val="0"/>
        <w:spacing w:before="0" w:beforeLines="0" w:after="0" w:afterLines="0" w:line="360" w:lineRule="auto"/>
        <w:ind w:left="0" w:leftChars="0" w:firstLine="0" w:firstLineChars="0"/>
        <w:rPr>
          <w:rFonts w:hint="eastAsia" w:ascii="Times New Roman" w:hAnsi="Times New Roman" w:cs="Times New Roman"/>
          <w:sz w:val="28"/>
          <w:szCs w:val="24"/>
          <w:lang w:val="en-US" w:eastAsia="zh-CN"/>
        </w:rPr>
      </w:pPr>
      <w:bookmarkStart w:id="80" w:name="_Toc7977"/>
      <w:r>
        <w:rPr>
          <w:rFonts w:hint="eastAsia" w:ascii="Times New Roman" w:hAnsi="Times New Roman" w:cs="Times New Roman"/>
          <w:sz w:val="28"/>
          <w:szCs w:val="24"/>
          <w:lang w:val="en-US" w:eastAsia="zh-CN"/>
        </w:rPr>
        <w:t>6.2国际标准情况</w:t>
      </w:r>
      <w:bookmarkEnd w:id="80"/>
    </w:p>
    <w:p w14:paraId="1DAEFF55">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目前，美国、欧盟等先进国家地区已经制定了相对完善的底质修复标准，该标准大都基于特定的生态和地理条件制定，在气候条件截然不同的地区（如热带、干旱地区）或发展中国家适用性不强。</w:t>
      </w:r>
    </w:p>
    <w:p w14:paraId="5869348C">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有别于国内外其他标准，本标准立足于我省湖库底质污染实际，针对性提出清淤疏浚、底质覆盖、生物修复、化学修复等底质修复技术，从经济和适应效果方面具有更强操作性和指导性。</w:t>
      </w:r>
    </w:p>
    <w:p w14:paraId="5993921C">
      <w:pPr>
        <w:pStyle w:val="2"/>
        <w:numPr>
          <w:ilvl w:val="0"/>
          <w:numId w:val="0"/>
        </w:numPr>
        <w:bidi w:val="0"/>
        <w:ind w:left="0" w:leftChars="0" w:firstLine="0" w:firstLineChars="0"/>
        <w:rPr>
          <w:rFonts w:hint="eastAsia" w:ascii="Times New Roman" w:hAnsi="Times New Roman" w:eastAsia="黑体" w:cs="Times New Roman"/>
          <w:sz w:val="32"/>
          <w:szCs w:val="28"/>
          <w:lang w:val="en-US" w:eastAsia="zh-CN" w:bidi="ar-SA"/>
        </w:rPr>
      </w:pPr>
      <w:bookmarkStart w:id="81" w:name="_Toc27825"/>
      <w:r>
        <w:rPr>
          <w:rFonts w:hint="eastAsia" w:ascii="Times New Roman" w:hAnsi="Times New Roman" w:cs="Times New Roman"/>
          <w:sz w:val="32"/>
          <w:szCs w:val="28"/>
          <w:lang w:val="en-US" w:eastAsia="zh-CN" w:bidi="ar-SA"/>
        </w:rPr>
        <w:t>七、</w:t>
      </w:r>
      <w:r>
        <w:rPr>
          <w:rFonts w:hint="default" w:ascii="Times New Roman" w:hAnsi="Times New Roman" w:eastAsia="黑体" w:cs="Times New Roman"/>
          <w:sz w:val="32"/>
          <w:szCs w:val="28"/>
          <w:lang w:val="en-US" w:eastAsia="zh-CN" w:bidi="ar-SA"/>
        </w:rPr>
        <w:t>与相关强制性标准、法律法规配套情况</w:t>
      </w:r>
      <w:bookmarkEnd w:id="81"/>
    </w:p>
    <w:p w14:paraId="3AB2D3AB">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制标主要原则是遵守《中华人民共和国标准化法》、《中华人民共和国环境保护法》、《国家标准管理办法》、《江西省地方标准管理办法》等法律法规；在标准制定过程中，充分参考了国内外湖库底质修复实际工程设计、施工及运营情况，充分保证该标准在实际应用工程实践的实用性。该标准的技术指标、性能参数的设定，结合了底质修复技术的相关研究和实践情况，充分参考了相关国家标准和相关规范，广泛调研，保证了标准的科学性、规范性、时效性、针对性。</w:t>
      </w:r>
    </w:p>
    <w:p w14:paraId="5CDF66A8">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本地方标准的编写内容与格式严格按照GB/T 1.1-2020《标准化工作导则 第1部分：标准化文件的结构和起草规则》的规定起草，遵守“统一性、协调性、适用性、一致性、规范性”的原则。</w:t>
      </w:r>
    </w:p>
    <w:p w14:paraId="4C8F3DE7">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本标准符合现行的法律、法规和强制性标准。本标准制定的原则和依据是立足需求，突出重点。依据省标准化战略领导小组办公室关于做好地方标准管理工作的通知要求开展，围绕我省湖库底质修复技术要求进行起草。</w:t>
      </w:r>
    </w:p>
    <w:p w14:paraId="6D6C528C">
      <w:pPr>
        <w:pStyle w:val="2"/>
        <w:numPr>
          <w:ilvl w:val="0"/>
          <w:numId w:val="0"/>
        </w:numPr>
        <w:bidi w:val="0"/>
        <w:ind w:left="0" w:leftChars="0" w:firstLine="0" w:firstLineChars="0"/>
        <w:rPr>
          <w:rFonts w:hint="eastAsia" w:ascii="Times New Roman" w:hAnsi="Times New Roman" w:cs="Times New Roman"/>
          <w:lang w:eastAsia="zh-CN"/>
        </w:rPr>
      </w:pPr>
      <w:bookmarkStart w:id="82" w:name="_Toc14784"/>
      <w:r>
        <w:rPr>
          <w:rFonts w:hint="eastAsia" w:ascii="Times New Roman" w:hAnsi="Times New Roman" w:cs="Times New Roman"/>
          <w:sz w:val="32"/>
          <w:szCs w:val="28"/>
          <w:lang w:val="en-US" w:eastAsia="zh-CN" w:bidi="ar-SA"/>
        </w:rPr>
        <w:t>八</w:t>
      </w:r>
      <w:r>
        <w:rPr>
          <w:rFonts w:hint="eastAsia" w:ascii="Times New Roman" w:hAnsi="Times New Roman" w:eastAsia="黑体" w:cs="Times New Roman"/>
          <w:sz w:val="32"/>
          <w:szCs w:val="28"/>
          <w:lang w:val="en-US" w:eastAsia="zh-CN" w:bidi="ar-SA"/>
        </w:rPr>
        <w:t>、</w:t>
      </w:r>
      <w:r>
        <w:rPr>
          <w:rFonts w:hint="eastAsia" w:ascii="Times New Roman" w:hAnsi="Times New Roman" w:cs="Times New Roman"/>
          <w:lang w:eastAsia="zh-CN"/>
        </w:rPr>
        <w:t>实施本文件的建议</w:t>
      </w:r>
      <w:bookmarkEnd w:id="82"/>
    </w:p>
    <w:bookmarkEnd w:id="48"/>
    <w:bookmarkEnd w:id="49"/>
    <w:p w14:paraId="44817154">
      <w:pPr>
        <w:adjustRightInd w:val="0"/>
        <w:snapToGrid w:val="0"/>
        <w:spacing w:line="360" w:lineRule="auto"/>
        <w:ind w:firstLine="560"/>
        <w:rPr>
          <w:sz w:val="28"/>
          <w:szCs w:val="24"/>
          <w:lang w:eastAsia="zh-CN"/>
        </w:rPr>
      </w:pPr>
      <w:r>
        <w:rPr>
          <w:sz w:val="28"/>
          <w:szCs w:val="24"/>
          <w:lang w:eastAsia="zh-CN"/>
        </w:rPr>
        <w:t>鉴于本</w:t>
      </w:r>
      <w:r>
        <w:rPr>
          <w:rFonts w:hint="eastAsia"/>
          <w:sz w:val="28"/>
          <w:szCs w:val="24"/>
          <w:lang w:val="en-US" w:eastAsia="zh-CN"/>
        </w:rPr>
        <w:t>标准</w:t>
      </w:r>
      <w:r>
        <w:rPr>
          <w:sz w:val="28"/>
          <w:szCs w:val="24"/>
          <w:lang w:eastAsia="zh-CN"/>
        </w:rPr>
        <w:t>为首次制定，在实施过程中可采用先试行一段时间，根据试行情况及反馈信息，进行进一步的修订完善，力争最终形成适用的</w:t>
      </w:r>
      <w:r>
        <w:rPr>
          <w:rFonts w:hint="eastAsia"/>
          <w:sz w:val="28"/>
          <w:szCs w:val="24"/>
          <w:lang w:eastAsia="zh-CN"/>
        </w:rPr>
        <w:t>水生态修复标准</w:t>
      </w:r>
      <w:r>
        <w:rPr>
          <w:sz w:val="28"/>
          <w:szCs w:val="24"/>
          <w:lang w:eastAsia="zh-CN"/>
        </w:rPr>
        <w:t>文件，更好的满足我省</w:t>
      </w:r>
      <w:r>
        <w:rPr>
          <w:rFonts w:hint="eastAsia"/>
          <w:sz w:val="28"/>
          <w:szCs w:val="24"/>
          <w:lang w:eastAsia="zh-CN"/>
        </w:rPr>
        <w:t>湖库</w:t>
      </w:r>
      <w:r>
        <w:rPr>
          <w:rFonts w:hint="eastAsia"/>
          <w:sz w:val="28"/>
          <w:szCs w:val="24"/>
          <w:lang w:val="en-US" w:eastAsia="zh-CN"/>
        </w:rPr>
        <w:t>底质修复</w:t>
      </w:r>
      <w:r>
        <w:rPr>
          <w:sz w:val="28"/>
          <w:szCs w:val="24"/>
          <w:lang w:eastAsia="zh-CN"/>
        </w:rPr>
        <w:t>需要。此外，随着经济的发展和技术的进步，以及对环保技术研究的不断深入及实践经验的积累，根据环境管理的实际需要，</w:t>
      </w:r>
      <w:r>
        <w:rPr>
          <w:rFonts w:hint="eastAsia"/>
          <w:sz w:val="28"/>
          <w:szCs w:val="24"/>
          <w:lang w:eastAsia="zh-CN"/>
        </w:rPr>
        <w:t>指南</w:t>
      </w:r>
      <w:r>
        <w:rPr>
          <w:sz w:val="28"/>
          <w:szCs w:val="24"/>
          <w:lang w:eastAsia="zh-CN"/>
        </w:rPr>
        <w:t>的内容应不断得到完善、拓展、深入和更新，以适应环境标准制修订工作的要求。因此本文件发布后，建议建立相关信息的反馈机制，适时解决</w:t>
      </w:r>
      <w:r>
        <w:rPr>
          <w:rFonts w:hint="eastAsia"/>
          <w:sz w:val="28"/>
          <w:szCs w:val="24"/>
          <w:lang w:eastAsia="zh-CN"/>
        </w:rPr>
        <w:t>指南</w:t>
      </w:r>
      <w:r>
        <w:rPr>
          <w:sz w:val="28"/>
          <w:szCs w:val="24"/>
          <w:lang w:eastAsia="zh-CN"/>
        </w:rPr>
        <w:t>应用中的问题，及时了解和总结</w:t>
      </w:r>
      <w:r>
        <w:rPr>
          <w:rFonts w:hint="eastAsia"/>
          <w:sz w:val="28"/>
          <w:szCs w:val="24"/>
          <w:lang w:val="en-US" w:eastAsia="zh-CN"/>
        </w:rPr>
        <w:t>底质修复</w:t>
      </w:r>
      <w:r>
        <w:rPr>
          <w:rFonts w:hint="eastAsia"/>
          <w:sz w:val="28"/>
          <w:szCs w:val="24"/>
          <w:lang w:eastAsia="zh-CN"/>
        </w:rPr>
        <w:t>技术</w:t>
      </w:r>
      <w:r>
        <w:rPr>
          <w:sz w:val="28"/>
          <w:szCs w:val="24"/>
          <w:lang w:eastAsia="zh-CN"/>
        </w:rPr>
        <w:t>的新动向，推动标准的贯彻执行。</w:t>
      </w:r>
    </w:p>
    <w:p w14:paraId="4DE684AC">
      <w:pPr>
        <w:adjustRightInd w:val="0"/>
        <w:snapToGrid w:val="0"/>
        <w:spacing w:line="360" w:lineRule="auto"/>
        <w:ind w:firstLine="560"/>
        <w:rPr>
          <w:color w:val="000000"/>
          <w:sz w:val="28"/>
          <w:szCs w:val="24"/>
          <w:lang w:eastAsia="zh-CN"/>
        </w:rPr>
      </w:pPr>
      <w:r>
        <w:rPr>
          <w:color w:val="000000"/>
          <w:sz w:val="28"/>
          <w:szCs w:val="24"/>
          <w:lang w:eastAsia="zh-CN"/>
        </w:rPr>
        <w:t>本</w:t>
      </w:r>
      <w:r>
        <w:rPr>
          <w:rFonts w:hint="eastAsia"/>
          <w:color w:val="000000"/>
          <w:sz w:val="28"/>
          <w:szCs w:val="24"/>
          <w:lang w:eastAsia="zh-CN"/>
        </w:rPr>
        <w:t>标准</w:t>
      </w:r>
      <w:r>
        <w:rPr>
          <w:color w:val="000000"/>
          <w:sz w:val="28"/>
          <w:szCs w:val="24"/>
          <w:lang w:eastAsia="zh-CN"/>
        </w:rPr>
        <w:t>建议作为推荐性地方标准发布。</w:t>
      </w:r>
    </w:p>
    <w:sectPr>
      <w:footerReference r:id="rId13" w:type="default"/>
      <w:pgSz w:w="11906" w:h="16838"/>
      <w:pgMar w:top="1440" w:right="1800" w:bottom="1440" w:left="180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39DC8">
    <w:pPr>
      <w:pStyle w:val="17"/>
      <w:framePr w:w="267" w:wrap="around" w:vAnchor="text" w:hAnchor="page" w:x="9806" w:y="2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F5F9D">
    <w:pPr>
      <w:pStyle w:val="17"/>
      <w:framePr w:wrap="around" w:vAnchor="text" w:hAnchor="margin" w:xAlign="right" w:y="1"/>
      <w:ind w:firstLine="360"/>
      <w:rPr>
        <w:rStyle w:val="31"/>
      </w:rPr>
    </w:pPr>
    <w:r>
      <w:fldChar w:fldCharType="begin"/>
    </w:r>
    <w:r>
      <w:rPr>
        <w:rStyle w:val="31"/>
      </w:rPr>
      <w:instrText xml:space="preserve">PAGE  </w:instrText>
    </w:r>
    <w:r>
      <w:fldChar w:fldCharType="end"/>
    </w:r>
  </w:p>
  <w:p w14:paraId="4065F16E">
    <w:pPr>
      <w:pStyle w:val="1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5BC07">
    <w:pPr>
      <w:pStyle w:val="17"/>
      <w:ind w:firstLine="360"/>
      <w:jc w:val="right"/>
    </w:pPr>
    <w:r>
      <w:fldChar w:fldCharType="begin"/>
    </w:r>
    <w:r>
      <w:instrText xml:space="preserve">PAGE   \* MERGEFORMAT</w:instrText>
    </w:r>
    <w:r>
      <w:fldChar w:fldCharType="separate"/>
    </w:r>
    <w:r>
      <w:rPr>
        <w:lang w:val="zh-CN" w:eastAsia="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671754"/>
    </w:sdtPr>
    <w:sdtContent>
      <w:p w14:paraId="7E815871">
        <w:pPr>
          <w:pStyle w:val="17"/>
          <w:ind w:firstLine="360"/>
          <w:jc w:val="center"/>
        </w:pPr>
        <w:r>
          <w:fldChar w:fldCharType="begin"/>
        </w:r>
        <w:r>
          <w:instrText xml:space="preserve">PAGE   \* MERGEFORMAT</w:instrText>
        </w:r>
        <w:r>
          <w:fldChar w:fldCharType="separate"/>
        </w:r>
        <w:r>
          <w:rPr>
            <w:lang w:val="zh-CN" w:eastAsia="zh-CN"/>
          </w:rPr>
          <w:t>2</w:t>
        </w:r>
        <w:r>
          <w:fldChar w:fldCharType="end"/>
        </w:r>
      </w:p>
    </w:sdtContent>
  </w:sdt>
  <w:p w14:paraId="2246D1F4">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3539226"/>
    </w:sdtPr>
    <w:sdtContent>
      <w:p w14:paraId="21170CD4">
        <w:pPr>
          <w:pStyle w:val="17"/>
          <w:ind w:firstLine="360"/>
          <w:jc w:val="center"/>
        </w:pPr>
        <w:r>
          <w:fldChar w:fldCharType="begin"/>
        </w:r>
        <w:r>
          <w:instrText xml:space="preserve">PAGE   \* MERGEFORMAT</w:instrText>
        </w:r>
        <w:r>
          <w:fldChar w:fldCharType="separate"/>
        </w:r>
        <w:r>
          <w:rPr>
            <w:lang w:val="zh-CN" w:eastAsia="zh-CN"/>
          </w:rPr>
          <w:t>2</w:t>
        </w:r>
        <w:r>
          <w:fldChar w:fldCharType="end"/>
        </w:r>
      </w:p>
    </w:sdtContent>
  </w:sdt>
  <w:p w14:paraId="330BAA6C">
    <w:pPr>
      <w:pStyle w:val="17"/>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AF415">
    <w:pPr>
      <w:pStyle w:val="17"/>
      <w:ind w:firstLine="42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eastAsia="zh-CN"/>
      </w:rPr>
      <w:t>10</w:t>
    </w:r>
    <w:r>
      <w:rPr>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1E00C">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8996C">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9161D">
    <w:pPr>
      <w:pStyle w:val="18"/>
      <w:pBdr>
        <w:bottom w:val="none" w:color="auto" w:sz="0" w:space="0"/>
      </w:pBdr>
      <w:ind w:firstLine="360"/>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7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7"/>
      <w:suff w:val="nothing"/>
      <w:lvlText w:val="%1.%2　"/>
      <w:lvlJc w:val="left"/>
      <w:pPr>
        <w:ind w:left="284"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80"/>
      <w:suff w:val="nothing"/>
      <w:lvlText w:val="%1.%2.%3　"/>
      <w:lvlJc w:val="left"/>
      <w:pPr>
        <w:ind w:left="1276"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81"/>
      <w:suff w:val="nothing"/>
      <w:lvlText w:val="%1.%2.%3.%4.%5　"/>
      <w:lvlJc w:val="left"/>
      <w:pPr>
        <w:ind w:left="0" w:firstLine="0"/>
      </w:pPr>
      <w:rPr>
        <w:rFonts w:hint="eastAsia" w:ascii="黑体" w:hAnsi="Times New Roman" w:eastAsia="黑体"/>
        <w:b w:val="0"/>
        <w:i w:val="0"/>
        <w:sz w:val="21"/>
      </w:rPr>
    </w:lvl>
    <w:lvl w:ilvl="5" w:tentative="0">
      <w:start w:val="1"/>
      <w:numFmt w:val="decimal"/>
      <w:pStyle w:val="8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
    <w:nsid w:val="43DD47CE"/>
    <w:multiLevelType w:val="multilevel"/>
    <w:tmpl w:val="43DD47CE"/>
    <w:lvl w:ilvl="0" w:tentative="0">
      <w:start w:val="1"/>
      <w:numFmt w:val="decimal"/>
      <w:pStyle w:val="2"/>
      <w:isLgl/>
      <w:lvlText w:val="%1"/>
      <w:lvlJc w:val="left"/>
      <w:pPr>
        <w:ind w:left="0" w:firstLine="0"/>
      </w:pPr>
      <w:rPr>
        <w:rFonts w:hint="default" w:ascii="Times New Roman" w:hAnsi="Times New Roman" w:eastAsia="黑体"/>
        <w:sz w:val="32"/>
        <w:szCs w:val="21"/>
      </w:rPr>
    </w:lvl>
    <w:lvl w:ilvl="1" w:tentative="0">
      <w:start w:val="1"/>
      <w:numFmt w:val="decimal"/>
      <w:pStyle w:val="3"/>
      <w:lvlText w:val="%1.%2"/>
      <w:lvlJc w:val="left"/>
      <w:pPr>
        <w:ind w:left="1560" w:firstLine="0"/>
      </w:pPr>
      <w:rPr>
        <w:rFonts w:hint="default" w:ascii="Times New Roman" w:hAnsi="Times New Roman" w:eastAsia="黑体"/>
        <w:sz w:val="28"/>
        <w:szCs w:val="21"/>
      </w:rPr>
    </w:lvl>
    <w:lvl w:ilvl="2" w:tentative="0">
      <w:start w:val="1"/>
      <w:numFmt w:val="decimal"/>
      <w:pStyle w:val="4"/>
      <w:lvlText w:val="%1.%2.%3"/>
      <w:lvlJc w:val="left"/>
      <w:pPr>
        <w:ind w:left="0" w:firstLine="0"/>
      </w:pPr>
      <w:rPr>
        <w:rFonts w:hint="default" w:ascii="Times New Roman" w:hAnsi="Times New Roman" w:eastAsia="宋体"/>
        <w:sz w:val="24"/>
      </w:rPr>
    </w:lvl>
    <w:lvl w:ilvl="3" w:tentative="0">
      <w:start w:val="1"/>
      <w:numFmt w:val="decimal"/>
      <w:lvlRestart w:val="1"/>
      <w:pStyle w:val="8"/>
      <w:lvlText w:val="图%1-%4"/>
      <w:lvlJc w:val="left"/>
      <w:pPr>
        <w:ind w:left="3261" w:firstLine="0"/>
      </w:pPr>
      <w:rPr>
        <w:rFonts w:hint="eastAsia"/>
        <w:sz w:val="21"/>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47D74904"/>
    <w:multiLevelType w:val="multilevel"/>
    <w:tmpl w:val="47D74904"/>
    <w:lvl w:ilvl="0" w:tentative="0">
      <w:start w:val="1"/>
      <w:numFmt w:val="decimal"/>
      <w:pStyle w:val="45"/>
      <w:lvlText w:val="（%1）"/>
      <w:lvlJc w:val="left"/>
      <w:pPr>
        <w:tabs>
          <w:tab w:val="left" w:pos="104"/>
        </w:tabs>
        <w:ind w:left="-94" w:firstLine="454"/>
      </w:pPr>
      <w:rPr>
        <w:rFonts w:hint="eastAsia"/>
        <w:lang w:val="en-US"/>
      </w:rPr>
    </w:lvl>
    <w:lvl w:ilvl="1" w:tentative="0">
      <w:start w:val="1"/>
      <w:numFmt w:val="lowerLetter"/>
      <w:lvlText w:val="%2)"/>
      <w:lvlJc w:val="left"/>
      <w:pPr>
        <w:tabs>
          <w:tab w:val="left" w:pos="1020"/>
        </w:tabs>
        <w:ind w:left="1020" w:hanging="420"/>
      </w:pPr>
    </w:lvl>
    <w:lvl w:ilvl="2" w:tentative="0">
      <w:start w:val="1"/>
      <w:numFmt w:val="decimalEnclosedCircle"/>
      <w:lvlText w:val="%3"/>
      <w:lvlJc w:val="left"/>
      <w:pPr>
        <w:tabs>
          <w:tab w:val="left" w:pos="1650"/>
        </w:tabs>
        <w:ind w:left="1650" w:hanging="630"/>
      </w:pPr>
      <w:rPr>
        <w:rFonts w:hint="default"/>
      </w:rPr>
    </w:lvl>
    <w:lvl w:ilvl="3" w:tentative="0">
      <w:start w:val="1"/>
      <w:numFmt w:val="decimal"/>
      <w:lvlText w:val="%4."/>
      <w:lvlJc w:val="left"/>
      <w:pPr>
        <w:tabs>
          <w:tab w:val="left" w:pos="1860"/>
        </w:tabs>
        <w:ind w:left="1860" w:hanging="420"/>
      </w:pPr>
    </w:lvl>
    <w:lvl w:ilvl="4" w:tentative="0">
      <w:start w:val="2"/>
      <w:numFmt w:val="decimal"/>
      <w:lvlText w:val="%5）"/>
      <w:lvlJc w:val="left"/>
      <w:pPr>
        <w:tabs>
          <w:tab w:val="left" w:pos="2220"/>
        </w:tabs>
        <w:ind w:left="2220" w:hanging="360"/>
      </w:pPr>
      <w:rPr>
        <w:rFonts w:hint="eastAsia"/>
      </w:r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
    <w:nsid w:val="646260FA"/>
    <w:multiLevelType w:val="multilevel"/>
    <w:tmpl w:val="646260FA"/>
    <w:lvl w:ilvl="0" w:tentative="0">
      <w:start w:val="1"/>
      <w:numFmt w:val="decimal"/>
      <w:pStyle w:val="8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3ZTZmN2NiMmU5NWM0ZTJmY2NkNWE0ZmU0OGVlZjAifQ=="/>
  </w:docVars>
  <w:rsids>
    <w:rsidRoot w:val="004F555E"/>
    <w:rsid w:val="000012AB"/>
    <w:rsid w:val="00001478"/>
    <w:rsid w:val="0000203A"/>
    <w:rsid w:val="000023DE"/>
    <w:rsid w:val="00007692"/>
    <w:rsid w:val="00007A24"/>
    <w:rsid w:val="000114DF"/>
    <w:rsid w:val="00014A7F"/>
    <w:rsid w:val="00016259"/>
    <w:rsid w:val="0001657F"/>
    <w:rsid w:val="00017361"/>
    <w:rsid w:val="000318D6"/>
    <w:rsid w:val="000359C7"/>
    <w:rsid w:val="00036A23"/>
    <w:rsid w:val="00041D07"/>
    <w:rsid w:val="000427F2"/>
    <w:rsid w:val="00042F9D"/>
    <w:rsid w:val="00044BEC"/>
    <w:rsid w:val="00045DCA"/>
    <w:rsid w:val="00046C6B"/>
    <w:rsid w:val="00047AE1"/>
    <w:rsid w:val="000500D7"/>
    <w:rsid w:val="00051D4B"/>
    <w:rsid w:val="0005239B"/>
    <w:rsid w:val="00052601"/>
    <w:rsid w:val="0005295F"/>
    <w:rsid w:val="0005375D"/>
    <w:rsid w:val="00055291"/>
    <w:rsid w:val="00055766"/>
    <w:rsid w:val="0005796D"/>
    <w:rsid w:val="000608F9"/>
    <w:rsid w:val="0006374B"/>
    <w:rsid w:val="00064643"/>
    <w:rsid w:val="000648CA"/>
    <w:rsid w:val="0006532E"/>
    <w:rsid w:val="000660AB"/>
    <w:rsid w:val="00070CBE"/>
    <w:rsid w:val="00073F1B"/>
    <w:rsid w:val="000758C9"/>
    <w:rsid w:val="00075CA6"/>
    <w:rsid w:val="00075ECE"/>
    <w:rsid w:val="0007707A"/>
    <w:rsid w:val="0007721B"/>
    <w:rsid w:val="00077CAA"/>
    <w:rsid w:val="0008106C"/>
    <w:rsid w:val="000830D3"/>
    <w:rsid w:val="00084A80"/>
    <w:rsid w:val="00090844"/>
    <w:rsid w:val="00092639"/>
    <w:rsid w:val="00093C1D"/>
    <w:rsid w:val="000A571E"/>
    <w:rsid w:val="000A6767"/>
    <w:rsid w:val="000A7D00"/>
    <w:rsid w:val="000B0761"/>
    <w:rsid w:val="000B3EB9"/>
    <w:rsid w:val="000B59D2"/>
    <w:rsid w:val="000C22B4"/>
    <w:rsid w:val="000D09C9"/>
    <w:rsid w:val="000D1C8C"/>
    <w:rsid w:val="000D31E5"/>
    <w:rsid w:val="000D3B27"/>
    <w:rsid w:val="000D7FC7"/>
    <w:rsid w:val="000E0E93"/>
    <w:rsid w:val="000E4AF9"/>
    <w:rsid w:val="000E564D"/>
    <w:rsid w:val="000E56E3"/>
    <w:rsid w:val="000E5B15"/>
    <w:rsid w:val="000E7255"/>
    <w:rsid w:val="000E727F"/>
    <w:rsid w:val="000F222C"/>
    <w:rsid w:val="000F3167"/>
    <w:rsid w:val="000F7144"/>
    <w:rsid w:val="00100EB8"/>
    <w:rsid w:val="00101A97"/>
    <w:rsid w:val="00103768"/>
    <w:rsid w:val="0010743A"/>
    <w:rsid w:val="001125EA"/>
    <w:rsid w:val="00115481"/>
    <w:rsid w:val="0011781D"/>
    <w:rsid w:val="00117C60"/>
    <w:rsid w:val="0012342C"/>
    <w:rsid w:val="00126E6C"/>
    <w:rsid w:val="001318CB"/>
    <w:rsid w:val="00131E67"/>
    <w:rsid w:val="00132399"/>
    <w:rsid w:val="00143010"/>
    <w:rsid w:val="001430BF"/>
    <w:rsid w:val="00145646"/>
    <w:rsid w:val="00145E01"/>
    <w:rsid w:val="00146832"/>
    <w:rsid w:val="001474EE"/>
    <w:rsid w:val="00147BD8"/>
    <w:rsid w:val="001510BA"/>
    <w:rsid w:val="00151F2D"/>
    <w:rsid w:val="00154F5F"/>
    <w:rsid w:val="0015768A"/>
    <w:rsid w:val="00157D41"/>
    <w:rsid w:val="00161BF7"/>
    <w:rsid w:val="00164C64"/>
    <w:rsid w:val="001719EA"/>
    <w:rsid w:val="00174CA8"/>
    <w:rsid w:val="00175C81"/>
    <w:rsid w:val="00177678"/>
    <w:rsid w:val="00177F25"/>
    <w:rsid w:val="00184648"/>
    <w:rsid w:val="00185BF7"/>
    <w:rsid w:val="00190C49"/>
    <w:rsid w:val="0019304F"/>
    <w:rsid w:val="0019403D"/>
    <w:rsid w:val="001A011B"/>
    <w:rsid w:val="001A175E"/>
    <w:rsid w:val="001A2A7E"/>
    <w:rsid w:val="001A461C"/>
    <w:rsid w:val="001A4942"/>
    <w:rsid w:val="001A4DDB"/>
    <w:rsid w:val="001A5DA7"/>
    <w:rsid w:val="001A717B"/>
    <w:rsid w:val="001B18A2"/>
    <w:rsid w:val="001B559B"/>
    <w:rsid w:val="001B5AB2"/>
    <w:rsid w:val="001B625A"/>
    <w:rsid w:val="001B6917"/>
    <w:rsid w:val="001B6F9A"/>
    <w:rsid w:val="001B776B"/>
    <w:rsid w:val="001C09D7"/>
    <w:rsid w:val="001C14BA"/>
    <w:rsid w:val="001C2F06"/>
    <w:rsid w:val="001C3243"/>
    <w:rsid w:val="001C41D9"/>
    <w:rsid w:val="001C4571"/>
    <w:rsid w:val="001C5C0D"/>
    <w:rsid w:val="001C6C05"/>
    <w:rsid w:val="001D2361"/>
    <w:rsid w:val="001D56FF"/>
    <w:rsid w:val="001D6A05"/>
    <w:rsid w:val="001D6AF5"/>
    <w:rsid w:val="001E0D54"/>
    <w:rsid w:val="001E35C0"/>
    <w:rsid w:val="001E7B48"/>
    <w:rsid w:val="001F0E3A"/>
    <w:rsid w:val="001F0FF4"/>
    <w:rsid w:val="001F1CE1"/>
    <w:rsid w:val="001F261B"/>
    <w:rsid w:val="001F33A6"/>
    <w:rsid w:val="001F4512"/>
    <w:rsid w:val="00200CF2"/>
    <w:rsid w:val="0020306B"/>
    <w:rsid w:val="00204BC9"/>
    <w:rsid w:val="0021242C"/>
    <w:rsid w:val="00213AA2"/>
    <w:rsid w:val="00213D6E"/>
    <w:rsid w:val="00213EF3"/>
    <w:rsid w:val="00214C70"/>
    <w:rsid w:val="00215C1B"/>
    <w:rsid w:val="0021647F"/>
    <w:rsid w:val="00220798"/>
    <w:rsid w:val="00220E2E"/>
    <w:rsid w:val="00221F3A"/>
    <w:rsid w:val="00222A47"/>
    <w:rsid w:val="00224632"/>
    <w:rsid w:val="002255F6"/>
    <w:rsid w:val="00226CD0"/>
    <w:rsid w:val="00231130"/>
    <w:rsid w:val="00233F81"/>
    <w:rsid w:val="002352F8"/>
    <w:rsid w:val="002357FB"/>
    <w:rsid w:val="00235A95"/>
    <w:rsid w:val="00237294"/>
    <w:rsid w:val="0023788E"/>
    <w:rsid w:val="00237AAB"/>
    <w:rsid w:val="00237F20"/>
    <w:rsid w:val="00240332"/>
    <w:rsid w:val="002410F5"/>
    <w:rsid w:val="00242FE8"/>
    <w:rsid w:val="0024413F"/>
    <w:rsid w:val="002443BB"/>
    <w:rsid w:val="00244C95"/>
    <w:rsid w:val="00244E2A"/>
    <w:rsid w:val="002453EA"/>
    <w:rsid w:val="002460E5"/>
    <w:rsid w:val="00247098"/>
    <w:rsid w:val="00247581"/>
    <w:rsid w:val="00250C8D"/>
    <w:rsid w:val="00250F89"/>
    <w:rsid w:val="00251E50"/>
    <w:rsid w:val="00252EA2"/>
    <w:rsid w:val="00253FB0"/>
    <w:rsid w:val="002543C2"/>
    <w:rsid w:val="002560D8"/>
    <w:rsid w:val="00257626"/>
    <w:rsid w:val="00261F0E"/>
    <w:rsid w:val="0026285A"/>
    <w:rsid w:val="00263F99"/>
    <w:rsid w:val="0026441A"/>
    <w:rsid w:val="002655B2"/>
    <w:rsid w:val="002660BC"/>
    <w:rsid w:val="002704D9"/>
    <w:rsid w:val="0027085B"/>
    <w:rsid w:val="00270ED6"/>
    <w:rsid w:val="00272A44"/>
    <w:rsid w:val="00273B4D"/>
    <w:rsid w:val="00277333"/>
    <w:rsid w:val="00277E04"/>
    <w:rsid w:val="00277EAB"/>
    <w:rsid w:val="002804BF"/>
    <w:rsid w:val="002811C0"/>
    <w:rsid w:val="002816B4"/>
    <w:rsid w:val="00284560"/>
    <w:rsid w:val="00284EB2"/>
    <w:rsid w:val="00285D33"/>
    <w:rsid w:val="00286B2E"/>
    <w:rsid w:val="00286CEA"/>
    <w:rsid w:val="002907F3"/>
    <w:rsid w:val="00290B61"/>
    <w:rsid w:val="00293238"/>
    <w:rsid w:val="00293A63"/>
    <w:rsid w:val="0029509D"/>
    <w:rsid w:val="00296301"/>
    <w:rsid w:val="00296BC1"/>
    <w:rsid w:val="002A2CBA"/>
    <w:rsid w:val="002A77B5"/>
    <w:rsid w:val="002B140E"/>
    <w:rsid w:val="002B2D53"/>
    <w:rsid w:val="002B4A35"/>
    <w:rsid w:val="002B6BFE"/>
    <w:rsid w:val="002B702F"/>
    <w:rsid w:val="002B706C"/>
    <w:rsid w:val="002B7439"/>
    <w:rsid w:val="002C1FD4"/>
    <w:rsid w:val="002C4176"/>
    <w:rsid w:val="002C5B3D"/>
    <w:rsid w:val="002C65BF"/>
    <w:rsid w:val="002D093C"/>
    <w:rsid w:val="002D0CF6"/>
    <w:rsid w:val="002D2A05"/>
    <w:rsid w:val="002D317A"/>
    <w:rsid w:val="002D6F41"/>
    <w:rsid w:val="002D7672"/>
    <w:rsid w:val="002E0FFE"/>
    <w:rsid w:val="002E2A64"/>
    <w:rsid w:val="002E5E84"/>
    <w:rsid w:val="002E6072"/>
    <w:rsid w:val="002E7DA7"/>
    <w:rsid w:val="002F0525"/>
    <w:rsid w:val="002F0F3C"/>
    <w:rsid w:val="002F20CC"/>
    <w:rsid w:val="002F3E44"/>
    <w:rsid w:val="002F69A6"/>
    <w:rsid w:val="002F72DC"/>
    <w:rsid w:val="002F75E7"/>
    <w:rsid w:val="00300EE1"/>
    <w:rsid w:val="0030373E"/>
    <w:rsid w:val="0030484A"/>
    <w:rsid w:val="00304CE4"/>
    <w:rsid w:val="00305C20"/>
    <w:rsid w:val="00305CAD"/>
    <w:rsid w:val="00306C0D"/>
    <w:rsid w:val="00307B21"/>
    <w:rsid w:val="003101F6"/>
    <w:rsid w:val="00312D72"/>
    <w:rsid w:val="0031534E"/>
    <w:rsid w:val="0031732A"/>
    <w:rsid w:val="003206AC"/>
    <w:rsid w:val="0032086E"/>
    <w:rsid w:val="00321527"/>
    <w:rsid w:val="00322FC6"/>
    <w:rsid w:val="0032346E"/>
    <w:rsid w:val="00323638"/>
    <w:rsid w:val="00324431"/>
    <w:rsid w:val="0032660E"/>
    <w:rsid w:val="00326D13"/>
    <w:rsid w:val="00326EEF"/>
    <w:rsid w:val="0033025D"/>
    <w:rsid w:val="0033149A"/>
    <w:rsid w:val="00332B2C"/>
    <w:rsid w:val="00333622"/>
    <w:rsid w:val="00335A19"/>
    <w:rsid w:val="00336AB0"/>
    <w:rsid w:val="00337D64"/>
    <w:rsid w:val="00341608"/>
    <w:rsid w:val="0034253F"/>
    <w:rsid w:val="00343BAB"/>
    <w:rsid w:val="003462B4"/>
    <w:rsid w:val="0035007C"/>
    <w:rsid w:val="0035083A"/>
    <w:rsid w:val="00350C36"/>
    <w:rsid w:val="0035264E"/>
    <w:rsid w:val="00355F62"/>
    <w:rsid w:val="00356C83"/>
    <w:rsid w:val="00356F0F"/>
    <w:rsid w:val="0036086A"/>
    <w:rsid w:val="00363CD1"/>
    <w:rsid w:val="003668E7"/>
    <w:rsid w:val="00371AD7"/>
    <w:rsid w:val="00372632"/>
    <w:rsid w:val="00380624"/>
    <w:rsid w:val="00380D98"/>
    <w:rsid w:val="00380F01"/>
    <w:rsid w:val="00382A33"/>
    <w:rsid w:val="00385C73"/>
    <w:rsid w:val="00393456"/>
    <w:rsid w:val="00395D25"/>
    <w:rsid w:val="003A2061"/>
    <w:rsid w:val="003A2D09"/>
    <w:rsid w:val="003A3BCC"/>
    <w:rsid w:val="003A5920"/>
    <w:rsid w:val="003A671C"/>
    <w:rsid w:val="003B0103"/>
    <w:rsid w:val="003B0E60"/>
    <w:rsid w:val="003B18C3"/>
    <w:rsid w:val="003B20FB"/>
    <w:rsid w:val="003B31F0"/>
    <w:rsid w:val="003B440D"/>
    <w:rsid w:val="003B50AE"/>
    <w:rsid w:val="003B68F7"/>
    <w:rsid w:val="003B7A68"/>
    <w:rsid w:val="003C048E"/>
    <w:rsid w:val="003C0A1D"/>
    <w:rsid w:val="003C3AF6"/>
    <w:rsid w:val="003C6482"/>
    <w:rsid w:val="003C6F71"/>
    <w:rsid w:val="003C74C8"/>
    <w:rsid w:val="003C7663"/>
    <w:rsid w:val="003C7D9E"/>
    <w:rsid w:val="003D38EA"/>
    <w:rsid w:val="003D3DC9"/>
    <w:rsid w:val="003E22B9"/>
    <w:rsid w:val="003E2781"/>
    <w:rsid w:val="003E28F5"/>
    <w:rsid w:val="003E4A3B"/>
    <w:rsid w:val="003E4C74"/>
    <w:rsid w:val="003E5053"/>
    <w:rsid w:val="003E5BAD"/>
    <w:rsid w:val="003E6D4E"/>
    <w:rsid w:val="003F2A05"/>
    <w:rsid w:val="003F5944"/>
    <w:rsid w:val="003F73FF"/>
    <w:rsid w:val="004034C9"/>
    <w:rsid w:val="004044DE"/>
    <w:rsid w:val="004063B9"/>
    <w:rsid w:val="00406740"/>
    <w:rsid w:val="00407C0D"/>
    <w:rsid w:val="00415C79"/>
    <w:rsid w:val="00416EAD"/>
    <w:rsid w:val="00420FC5"/>
    <w:rsid w:val="00421A07"/>
    <w:rsid w:val="00423393"/>
    <w:rsid w:val="004235E4"/>
    <w:rsid w:val="00423E54"/>
    <w:rsid w:val="00423FA6"/>
    <w:rsid w:val="004326A2"/>
    <w:rsid w:val="00432A1A"/>
    <w:rsid w:val="00437264"/>
    <w:rsid w:val="00437F09"/>
    <w:rsid w:val="00441BDA"/>
    <w:rsid w:val="00443541"/>
    <w:rsid w:val="00443B9F"/>
    <w:rsid w:val="004475CE"/>
    <w:rsid w:val="00453DE7"/>
    <w:rsid w:val="0045683C"/>
    <w:rsid w:val="00456B3D"/>
    <w:rsid w:val="00456F0F"/>
    <w:rsid w:val="004659BA"/>
    <w:rsid w:val="004675F0"/>
    <w:rsid w:val="0047321D"/>
    <w:rsid w:val="00473ADD"/>
    <w:rsid w:val="00474011"/>
    <w:rsid w:val="004759CB"/>
    <w:rsid w:val="00475C54"/>
    <w:rsid w:val="004773EA"/>
    <w:rsid w:val="004809C2"/>
    <w:rsid w:val="0048274F"/>
    <w:rsid w:val="00483733"/>
    <w:rsid w:val="00485705"/>
    <w:rsid w:val="00491EC8"/>
    <w:rsid w:val="0049209C"/>
    <w:rsid w:val="004961B3"/>
    <w:rsid w:val="0049691A"/>
    <w:rsid w:val="00496AB1"/>
    <w:rsid w:val="004A1960"/>
    <w:rsid w:val="004A2D7B"/>
    <w:rsid w:val="004A33BD"/>
    <w:rsid w:val="004A3999"/>
    <w:rsid w:val="004A4249"/>
    <w:rsid w:val="004A42C2"/>
    <w:rsid w:val="004A4D63"/>
    <w:rsid w:val="004A54B8"/>
    <w:rsid w:val="004B1023"/>
    <w:rsid w:val="004B22E6"/>
    <w:rsid w:val="004B2C70"/>
    <w:rsid w:val="004C09EC"/>
    <w:rsid w:val="004C1045"/>
    <w:rsid w:val="004C2378"/>
    <w:rsid w:val="004C3841"/>
    <w:rsid w:val="004C77CD"/>
    <w:rsid w:val="004C7ADE"/>
    <w:rsid w:val="004D25C6"/>
    <w:rsid w:val="004D5F76"/>
    <w:rsid w:val="004D77FA"/>
    <w:rsid w:val="004E0016"/>
    <w:rsid w:val="004E2D48"/>
    <w:rsid w:val="004E4919"/>
    <w:rsid w:val="004E595A"/>
    <w:rsid w:val="004F1B71"/>
    <w:rsid w:val="004F255D"/>
    <w:rsid w:val="004F36EB"/>
    <w:rsid w:val="004F4F6F"/>
    <w:rsid w:val="004F4F9C"/>
    <w:rsid w:val="004F555E"/>
    <w:rsid w:val="004F7376"/>
    <w:rsid w:val="00500230"/>
    <w:rsid w:val="00501D7D"/>
    <w:rsid w:val="005025CB"/>
    <w:rsid w:val="0050354D"/>
    <w:rsid w:val="005066B6"/>
    <w:rsid w:val="00506F87"/>
    <w:rsid w:val="00510D25"/>
    <w:rsid w:val="00512015"/>
    <w:rsid w:val="00512649"/>
    <w:rsid w:val="00512E0D"/>
    <w:rsid w:val="005149E4"/>
    <w:rsid w:val="00515837"/>
    <w:rsid w:val="005167F9"/>
    <w:rsid w:val="00516A67"/>
    <w:rsid w:val="00517CF5"/>
    <w:rsid w:val="00517EBA"/>
    <w:rsid w:val="005233A5"/>
    <w:rsid w:val="00523C54"/>
    <w:rsid w:val="00523D80"/>
    <w:rsid w:val="00526D52"/>
    <w:rsid w:val="00527862"/>
    <w:rsid w:val="0053197A"/>
    <w:rsid w:val="0053314C"/>
    <w:rsid w:val="005333C2"/>
    <w:rsid w:val="00533412"/>
    <w:rsid w:val="005353AC"/>
    <w:rsid w:val="005364E4"/>
    <w:rsid w:val="00536E5E"/>
    <w:rsid w:val="005406AA"/>
    <w:rsid w:val="00543260"/>
    <w:rsid w:val="005438EA"/>
    <w:rsid w:val="00544480"/>
    <w:rsid w:val="00544DB1"/>
    <w:rsid w:val="00544DE0"/>
    <w:rsid w:val="005466C8"/>
    <w:rsid w:val="00550835"/>
    <w:rsid w:val="00550CD9"/>
    <w:rsid w:val="00551260"/>
    <w:rsid w:val="00551832"/>
    <w:rsid w:val="00551937"/>
    <w:rsid w:val="00551FC1"/>
    <w:rsid w:val="0055375D"/>
    <w:rsid w:val="00554584"/>
    <w:rsid w:val="00556006"/>
    <w:rsid w:val="00556BDB"/>
    <w:rsid w:val="00557D6F"/>
    <w:rsid w:val="00557F23"/>
    <w:rsid w:val="0056031E"/>
    <w:rsid w:val="00560828"/>
    <w:rsid w:val="00562360"/>
    <w:rsid w:val="00566FA4"/>
    <w:rsid w:val="005676CF"/>
    <w:rsid w:val="00567BAC"/>
    <w:rsid w:val="00572006"/>
    <w:rsid w:val="00572344"/>
    <w:rsid w:val="00573B25"/>
    <w:rsid w:val="00576B55"/>
    <w:rsid w:val="00577F73"/>
    <w:rsid w:val="00580E82"/>
    <w:rsid w:val="0058162E"/>
    <w:rsid w:val="00582D4B"/>
    <w:rsid w:val="0058304F"/>
    <w:rsid w:val="00585CAE"/>
    <w:rsid w:val="00586FC3"/>
    <w:rsid w:val="005904D6"/>
    <w:rsid w:val="00591EEF"/>
    <w:rsid w:val="0059219A"/>
    <w:rsid w:val="00596945"/>
    <w:rsid w:val="005970CE"/>
    <w:rsid w:val="005A062A"/>
    <w:rsid w:val="005A063E"/>
    <w:rsid w:val="005A0E04"/>
    <w:rsid w:val="005A1817"/>
    <w:rsid w:val="005A44C1"/>
    <w:rsid w:val="005A511A"/>
    <w:rsid w:val="005B38F3"/>
    <w:rsid w:val="005C1E15"/>
    <w:rsid w:val="005C20EA"/>
    <w:rsid w:val="005C4306"/>
    <w:rsid w:val="005C478D"/>
    <w:rsid w:val="005C6980"/>
    <w:rsid w:val="005C69E0"/>
    <w:rsid w:val="005C6DCF"/>
    <w:rsid w:val="005D0227"/>
    <w:rsid w:val="005D1832"/>
    <w:rsid w:val="005D2D63"/>
    <w:rsid w:val="005D3D86"/>
    <w:rsid w:val="005D3E74"/>
    <w:rsid w:val="005D437F"/>
    <w:rsid w:val="005D5A52"/>
    <w:rsid w:val="005D7C66"/>
    <w:rsid w:val="005E1F37"/>
    <w:rsid w:val="005E22D7"/>
    <w:rsid w:val="005E3202"/>
    <w:rsid w:val="005E51B1"/>
    <w:rsid w:val="005E7515"/>
    <w:rsid w:val="005E773A"/>
    <w:rsid w:val="005F0F9D"/>
    <w:rsid w:val="005F18A2"/>
    <w:rsid w:val="005F3A36"/>
    <w:rsid w:val="005F3E96"/>
    <w:rsid w:val="005F44A7"/>
    <w:rsid w:val="005F7EE4"/>
    <w:rsid w:val="00600D56"/>
    <w:rsid w:val="00601E58"/>
    <w:rsid w:val="006022E2"/>
    <w:rsid w:val="0060379D"/>
    <w:rsid w:val="00604FA0"/>
    <w:rsid w:val="0061016C"/>
    <w:rsid w:val="0061056D"/>
    <w:rsid w:val="0061362B"/>
    <w:rsid w:val="00613F60"/>
    <w:rsid w:val="006148E0"/>
    <w:rsid w:val="00614954"/>
    <w:rsid w:val="006171EC"/>
    <w:rsid w:val="00617AA2"/>
    <w:rsid w:val="006231A7"/>
    <w:rsid w:val="0062439A"/>
    <w:rsid w:val="00626815"/>
    <w:rsid w:val="00630143"/>
    <w:rsid w:val="006322E7"/>
    <w:rsid w:val="00640959"/>
    <w:rsid w:val="0064119D"/>
    <w:rsid w:val="006413E2"/>
    <w:rsid w:val="006419A8"/>
    <w:rsid w:val="00643DEA"/>
    <w:rsid w:val="0064606B"/>
    <w:rsid w:val="00647AA3"/>
    <w:rsid w:val="006500DE"/>
    <w:rsid w:val="00653A71"/>
    <w:rsid w:val="00656C04"/>
    <w:rsid w:val="00662AB3"/>
    <w:rsid w:val="0066635D"/>
    <w:rsid w:val="00666C92"/>
    <w:rsid w:val="00671151"/>
    <w:rsid w:val="0067399C"/>
    <w:rsid w:val="006749AB"/>
    <w:rsid w:val="00675865"/>
    <w:rsid w:val="006764DD"/>
    <w:rsid w:val="00677DDC"/>
    <w:rsid w:val="00681BA7"/>
    <w:rsid w:val="00684FAE"/>
    <w:rsid w:val="00685636"/>
    <w:rsid w:val="006858E0"/>
    <w:rsid w:val="006865E4"/>
    <w:rsid w:val="006908A3"/>
    <w:rsid w:val="006940A5"/>
    <w:rsid w:val="00694DF3"/>
    <w:rsid w:val="00695C87"/>
    <w:rsid w:val="00696AA7"/>
    <w:rsid w:val="006A5A3C"/>
    <w:rsid w:val="006B261C"/>
    <w:rsid w:val="006B4EA6"/>
    <w:rsid w:val="006C1891"/>
    <w:rsid w:val="006C2A07"/>
    <w:rsid w:val="006C3EF4"/>
    <w:rsid w:val="006C4521"/>
    <w:rsid w:val="006C47B0"/>
    <w:rsid w:val="006C557F"/>
    <w:rsid w:val="006C5C1A"/>
    <w:rsid w:val="006C606A"/>
    <w:rsid w:val="006C6647"/>
    <w:rsid w:val="006C6B48"/>
    <w:rsid w:val="006D05AC"/>
    <w:rsid w:val="006D6C26"/>
    <w:rsid w:val="006D78DB"/>
    <w:rsid w:val="006E2F9E"/>
    <w:rsid w:val="006E7D38"/>
    <w:rsid w:val="006F4C94"/>
    <w:rsid w:val="007008A7"/>
    <w:rsid w:val="0070147A"/>
    <w:rsid w:val="00702A4E"/>
    <w:rsid w:val="00704F74"/>
    <w:rsid w:val="00711B6E"/>
    <w:rsid w:val="0071215C"/>
    <w:rsid w:val="0071269A"/>
    <w:rsid w:val="00713885"/>
    <w:rsid w:val="0071677A"/>
    <w:rsid w:val="00716D69"/>
    <w:rsid w:val="0072164F"/>
    <w:rsid w:val="00722235"/>
    <w:rsid w:val="00724936"/>
    <w:rsid w:val="00725053"/>
    <w:rsid w:val="00726998"/>
    <w:rsid w:val="0072770D"/>
    <w:rsid w:val="00727E0A"/>
    <w:rsid w:val="00731033"/>
    <w:rsid w:val="00732453"/>
    <w:rsid w:val="007327BE"/>
    <w:rsid w:val="007337B6"/>
    <w:rsid w:val="007366C5"/>
    <w:rsid w:val="00736A0E"/>
    <w:rsid w:val="007379B1"/>
    <w:rsid w:val="00742CCF"/>
    <w:rsid w:val="00743779"/>
    <w:rsid w:val="00744D25"/>
    <w:rsid w:val="007450DD"/>
    <w:rsid w:val="0074686D"/>
    <w:rsid w:val="00746D09"/>
    <w:rsid w:val="007536D8"/>
    <w:rsid w:val="00755156"/>
    <w:rsid w:val="00756515"/>
    <w:rsid w:val="007606E8"/>
    <w:rsid w:val="00760B9B"/>
    <w:rsid w:val="00760FAE"/>
    <w:rsid w:val="007614A0"/>
    <w:rsid w:val="00761C73"/>
    <w:rsid w:val="00761D79"/>
    <w:rsid w:val="00763585"/>
    <w:rsid w:val="00763691"/>
    <w:rsid w:val="00770CE9"/>
    <w:rsid w:val="00771A33"/>
    <w:rsid w:val="007727F5"/>
    <w:rsid w:val="00772F79"/>
    <w:rsid w:val="00776089"/>
    <w:rsid w:val="00776998"/>
    <w:rsid w:val="00777B4E"/>
    <w:rsid w:val="00780436"/>
    <w:rsid w:val="007833BC"/>
    <w:rsid w:val="007864AB"/>
    <w:rsid w:val="00786E11"/>
    <w:rsid w:val="00787211"/>
    <w:rsid w:val="0079016F"/>
    <w:rsid w:val="00790845"/>
    <w:rsid w:val="007928BD"/>
    <w:rsid w:val="00795DBD"/>
    <w:rsid w:val="00796EF1"/>
    <w:rsid w:val="007972EF"/>
    <w:rsid w:val="007A0029"/>
    <w:rsid w:val="007A034B"/>
    <w:rsid w:val="007A0761"/>
    <w:rsid w:val="007A10C6"/>
    <w:rsid w:val="007A1449"/>
    <w:rsid w:val="007A3589"/>
    <w:rsid w:val="007A4B1B"/>
    <w:rsid w:val="007A4B8D"/>
    <w:rsid w:val="007A5382"/>
    <w:rsid w:val="007A6C96"/>
    <w:rsid w:val="007A7F04"/>
    <w:rsid w:val="007B23B1"/>
    <w:rsid w:val="007B4701"/>
    <w:rsid w:val="007B51E7"/>
    <w:rsid w:val="007B7AB4"/>
    <w:rsid w:val="007C291E"/>
    <w:rsid w:val="007D0C32"/>
    <w:rsid w:val="007D0D1C"/>
    <w:rsid w:val="007D0EFC"/>
    <w:rsid w:val="007D1972"/>
    <w:rsid w:val="007D1D04"/>
    <w:rsid w:val="007D2515"/>
    <w:rsid w:val="007D2C1D"/>
    <w:rsid w:val="007D4CEE"/>
    <w:rsid w:val="007D583C"/>
    <w:rsid w:val="007D5C26"/>
    <w:rsid w:val="007D6052"/>
    <w:rsid w:val="007D62E2"/>
    <w:rsid w:val="007D761A"/>
    <w:rsid w:val="007E1CB1"/>
    <w:rsid w:val="007E45AE"/>
    <w:rsid w:val="007E4D05"/>
    <w:rsid w:val="007E79E6"/>
    <w:rsid w:val="007F1AC5"/>
    <w:rsid w:val="007F5433"/>
    <w:rsid w:val="00800988"/>
    <w:rsid w:val="00801396"/>
    <w:rsid w:val="0080185D"/>
    <w:rsid w:val="00801C75"/>
    <w:rsid w:val="00804198"/>
    <w:rsid w:val="00804FD5"/>
    <w:rsid w:val="008060CC"/>
    <w:rsid w:val="008064BE"/>
    <w:rsid w:val="00813203"/>
    <w:rsid w:val="00815D02"/>
    <w:rsid w:val="008203EA"/>
    <w:rsid w:val="00820996"/>
    <w:rsid w:val="00821253"/>
    <w:rsid w:val="0082198F"/>
    <w:rsid w:val="00822DE1"/>
    <w:rsid w:val="00823B16"/>
    <w:rsid w:val="00824F09"/>
    <w:rsid w:val="0082772B"/>
    <w:rsid w:val="00831383"/>
    <w:rsid w:val="00833A59"/>
    <w:rsid w:val="00833C98"/>
    <w:rsid w:val="008348CC"/>
    <w:rsid w:val="008363B5"/>
    <w:rsid w:val="00841596"/>
    <w:rsid w:val="008432D6"/>
    <w:rsid w:val="00843C5B"/>
    <w:rsid w:val="00844144"/>
    <w:rsid w:val="00844956"/>
    <w:rsid w:val="008449CA"/>
    <w:rsid w:val="00845120"/>
    <w:rsid w:val="00846D98"/>
    <w:rsid w:val="00851FC4"/>
    <w:rsid w:val="008521A5"/>
    <w:rsid w:val="00852384"/>
    <w:rsid w:val="008523CB"/>
    <w:rsid w:val="00852643"/>
    <w:rsid w:val="008540D3"/>
    <w:rsid w:val="00857953"/>
    <w:rsid w:val="00860474"/>
    <w:rsid w:val="00860A80"/>
    <w:rsid w:val="00863D34"/>
    <w:rsid w:val="00864E3F"/>
    <w:rsid w:val="0086517E"/>
    <w:rsid w:val="00865FF5"/>
    <w:rsid w:val="00870A95"/>
    <w:rsid w:val="008820F2"/>
    <w:rsid w:val="008830D7"/>
    <w:rsid w:val="008842D8"/>
    <w:rsid w:val="00884382"/>
    <w:rsid w:val="00885281"/>
    <w:rsid w:val="00885D92"/>
    <w:rsid w:val="00886DB9"/>
    <w:rsid w:val="008919B6"/>
    <w:rsid w:val="008921E0"/>
    <w:rsid w:val="008937E3"/>
    <w:rsid w:val="008942E6"/>
    <w:rsid w:val="00894C7A"/>
    <w:rsid w:val="00895788"/>
    <w:rsid w:val="0089724F"/>
    <w:rsid w:val="008976CE"/>
    <w:rsid w:val="008A0087"/>
    <w:rsid w:val="008A0958"/>
    <w:rsid w:val="008A0FC9"/>
    <w:rsid w:val="008A2FED"/>
    <w:rsid w:val="008A4CF5"/>
    <w:rsid w:val="008A617E"/>
    <w:rsid w:val="008A6214"/>
    <w:rsid w:val="008B0D3F"/>
    <w:rsid w:val="008B1A10"/>
    <w:rsid w:val="008B2610"/>
    <w:rsid w:val="008B4CD3"/>
    <w:rsid w:val="008C1AEB"/>
    <w:rsid w:val="008C1FEE"/>
    <w:rsid w:val="008C536A"/>
    <w:rsid w:val="008C7C9D"/>
    <w:rsid w:val="008D1F1A"/>
    <w:rsid w:val="008D3046"/>
    <w:rsid w:val="008D3F61"/>
    <w:rsid w:val="008D46EA"/>
    <w:rsid w:val="008D5DAD"/>
    <w:rsid w:val="008D628E"/>
    <w:rsid w:val="008E09C7"/>
    <w:rsid w:val="008E24AB"/>
    <w:rsid w:val="008E3AF6"/>
    <w:rsid w:val="008E3FD1"/>
    <w:rsid w:val="008E5BC8"/>
    <w:rsid w:val="008F075F"/>
    <w:rsid w:val="008F0EFB"/>
    <w:rsid w:val="008F0EFE"/>
    <w:rsid w:val="008F2FB5"/>
    <w:rsid w:val="008F452C"/>
    <w:rsid w:val="008F61C9"/>
    <w:rsid w:val="008F7718"/>
    <w:rsid w:val="0090172C"/>
    <w:rsid w:val="0090265D"/>
    <w:rsid w:val="009037A5"/>
    <w:rsid w:val="0090494C"/>
    <w:rsid w:val="00906118"/>
    <w:rsid w:val="00907670"/>
    <w:rsid w:val="00911F23"/>
    <w:rsid w:val="00912EB6"/>
    <w:rsid w:val="00914300"/>
    <w:rsid w:val="00917941"/>
    <w:rsid w:val="00917F73"/>
    <w:rsid w:val="009204C4"/>
    <w:rsid w:val="00920980"/>
    <w:rsid w:val="00920E18"/>
    <w:rsid w:val="0092295A"/>
    <w:rsid w:val="00922C94"/>
    <w:rsid w:val="00922FB4"/>
    <w:rsid w:val="009246A2"/>
    <w:rsid w:val="0092488C"/>
    <w:rsid w:val="009265A3"/>
    <w:rsid w:val="00926E0B"/>
    <w:rsid w:val="00932178"/>
    <w:rsid w:val="00932F4F"/>
    <w:rsid w:val="00934704"/>
    <w:rsid w:val="00935E47"/>
    <w:rsid w:val="00937C57"/>
    <w:rsid w:val="009428FB"/>
    <w:rsid w:val="00942C50"/>
    <w:rsid w:val="0094312A"/>
    <w:rsid w:val="0094361E"/>
    <w:rsid w:val="00943C8A"/>
    <w:rsid w:val="009447AA"/>
    <w:rsid w:val="00945AEA"/>
    <w:rsid w:val="0094657F"/>
    <w:rsid w:val="00946998"/>
    <w:rsid w:val="00947CCD"/>
    <w:rsid w:val="00950A0B"/>
    <w:rsid w:val="009600C7"/>
    <w:rsid w:val="00964557"/>
    <w:rsid w:val="009665B8"/>
    <w:rsid w:val="009710E0"/>
    <w:rsid w:val="00974A91"/>
    <w:rsid w:val="00975650"/>
    <w:rsid w:val="00975BA7"/>
    <w:rsid w:val="00976FBD"/>
    <w:rsid w:val="00981286"/>
    <w:rsid w:val="00981666"/>
    <w:rsid w:val="00982331"/>
    <w:rsid w:val="00985771"/>
    <w:rsid w:val="00985D40"/>
    <w:rsid w:val="00985E7B"/>
    <w:rsid w:val="00986B37"/>
    <w:rsid w:val="0098700F"/>
    <w:rsid w:val="00990880"/>
    <w:rsid w:val="009909C2"/>
    <w:rsid w:val="009939CB"/>
    <w:rsid w:val="00997190"/>
    <w:rsid w:val="00997DFE"/>
    <w:rsid w:val="009A32B8"/>
    <w:rsid w:val="009A5637"/>
    <w:rsid w:val="009A5B5C"/>
    <w:rsid w:val="009A6096"/>
    <w:rsid w:val="009B1346"/>
    <w:rsid w:val="009B16A8"/>
    <w:rsid w:val="009C0968"/>
    <w:rsid w:val="009C34D8"/>
    <w:rsid w:val="009C5289"/>
    <w:rsid w:val="009C589C"/>
    <w:rsid w:val="009C76BF"/>
    <w:rsid w:val="009C7CC8"/>
    <w:rsid w:val="009D0AEE"/>
    <w:rsid w:val="009D0C05"/>
    <w:rsid w:val="009D156A"/>
    <w:rsid w:val="009D2D7C"/>
    <w:rsid w:val="009D33B3"/>
    <w:rsid w:val="009D7985"/>
    <w:rsid w:val="009D7D88"/>
    <w:rsid w:val="009D7F1D"/>
    <w:rsid w:val="009E3819"/>
    <w:rsid w:val="009E54FA"/>
    <w:rsid w:val="009E6A0E"/>
    <w:rsid w:val="009F0A3B"/>
    <w:rsid w:val="009F0E41"/>
    <w:rsid w:val="009F1ED4"/>
    <w:rsid w:val="009F3581"/>
    <w:rsid w:val="009F3B33"/>
    <w:rsid w:val="009F3D26"/>
    <w:rsid w:val="009F4947"/>
    <w:rsid w:val="009F5F01"/>
    <w:rsid w:val="009F7E84"/>
    <w:rsid w:val="00A008AD"/>
    <w:rsid w:val="00A011FD"/>
    <w:rsid w:val="00A03CF5"/>
    <w:rsid w:val="00A04F56"/>
    <w:rsid w:val="00A0520D"/>
    <w:rsid w:val="00A0557B"/>
    <w:rsid w:val="00A07AD9"/>
    <w:rsid w:val="00A107ED"/>
    <w:rsid w:val="00A10C31"/>
    <w:rsid w:val="00A11A3C"/>
    <w:rsid w:val="00A12007"/>
    <w:rsid w:val="00A128AB"/>
    <w:rsid w:val="00A12DDA"/>
    <w:rsid w:val="00A155D1"/>
    <w:rsid w:val="00A16281"/>
    <w:rsid w:val="00A175A1"/>
    <w:rsid w:val="00A178B1"/>
    <w:rsid w:val="00A23C5C"/>
    <w:rsid w:val="00A33BD6"/>
    <w:rsid w:val="00A35C4C"/>
    <w:rsid w:val="00A37E97"/>
    <w:rsid w:val="00A44769"/>
    <w:rsid w:val="00A47C23"/>
    <w:rsid w:val="00A516A4"/>
    <w:rsid w:val="00A51754"/>
    <w:rsid w:val="00A52475"/>
    <w:rsid w:val="00A5289B"/>
    <w:rsid w:val="00A52A00"/>
    <w:rsid w:val="00A54250"/>
    <w:rsid w:val="00A558EC"/>
    <w:rsid w:val="00A56DF7"/>
    <w:rsid w:val="00A57289"/>
    <w:rsid w:val="00A5792F"/>
    <w:rsid w:val="00A6052A"/>
    <w:rsid w:val="00A6064A"/>
    <w:rsid w:val="00A61127"/>
    <w:rsid w:val="00A614AA"/>
    <w:rsid w:val="00A65878"/>
    <w:rsid w:val="00A66C91"/>
    <w:rsid w:val="00A66D3E"/>
    <w:rsid w:val="00A66E04"/>
    <w:rsid w:val="00A70F1D"/>
    <w:rsid w:val="00A737C1"/>
    <w:rsid w:val="00A7575B"/>
    <w:rsid w:val="00A75B31"/>
    <w:rsid w:val="00A75FB3"/>
    <w:rsid w:val="00A76530"/>
    <w:rsid w:val="00A80748"/>
    <w:rsid w:val="00A81122"/>
    <w:rsid w:val="00A8171D"/>
    <w:rsid w:val="00A81E9D"/>
    <w:rsid w:val="00A864F2"/>
    <w:rsid w:val="00A873C3"/>
    <w:rsid w:val="00A87D3E"/>
    <w:rsid w:val="00A916EE"/>
    <w:rsid w:val="00A921A8"/>
    <w:rsid w:val="00A92D98"/>
    <w:rsid w:val="00A93700"/>
    <w:rsid w:val="00A93A27"/>
    <w:rsid w:val="00A95FDA"/>
    <w:rsid w:val="00A95FE2"/>
    <w:rsid w:val="00AA0188"/>
    <w:rsid w:val="00AA07DC"/>
    <w:rsid w:val="00AA142B"/>
    <w:rsid w:val="00AA323A"/>
    <w:rsid w:val="00AA32E6"/>
    <w:rsid w:val="00AA4B10"/>
    <w:rsid w:val="00AA4E7E"/>
    <w:rsid w:val="00AA7464"/>
    <w:rsid w:val="00AB50F9"/>
    <w:rsid w:val="00AB524C"/>
    <w:rsid w:val="00AB54B7"/>
    <w:rsid w:val="00AB7569"/>
    <w:rsid w:val="00AB7D98"/>
    <w:rsid w:val="00AC00A7"/>
    <w:rsid w:val="00AC0E7F"/>
    <w:rsid w:val="00AC45B4"/>
    <w:rsid w:val="00AC478B"/>
    <w:rsid w:val="00AC63B2"/>
    <w:rsid w:val="00AD0F03"/>
    <w:rsid w:val="00AD2490"/>
    <w:rsid w:val="00AD2712"/>
    <w:rsid w:val="00AD4A01"/>
    <w:rsid w:val="00AE064B"/>
    <w:rsid w:val="00AE0E44"/>
    <w:rsid w:val="00AE1426"/>
    <w:rsid w:val="00AE2D14"/>
    <w:rsid w:val="00AE3F9F"/>
    <w:rsid w:val="00AE45C1"/>
    <w:rsid w:val="00AE50E6"/>
    <w:rsid w:val="00AE6ED0"/>
    <w:rsid w:val="00AF3F1A"/>
    <w:rsid w:val="00AF3F85"/>
    <w:rsid w:val="00AF4E53"/>
    <w:rsid w:val="00AF5540"/>
    <w:rsid w:val="00AF5AB1"/>
    <w:rsid w:val="00AF7882"/>
    <w:rsid w:val="00AF7FA1"/>
    <w:rsid w:val="00B0002D"/>
    <w:rsid w:val="00B002FA"/>
    <w:rsid w:val="00B0031A"/>
    <w:rsid w:val="00B037C3"/>
    <w:rsid w:val="00B044F3"/>
    <w:rsid w:val="00B056B2"/>
    <w:rsid w:val="00B103E3"/>
    <w:rsid w:val="00B15E95"/>
    <w:rsid w:val="00B168A6"/>
    <w:rsid w:val="00B20103"/>
    <w:rsid w:val="00B2173D"/>
    <w:rsid w:val="00B22C7F"/>
    <w:rsid w:val="00B22ED5"/>
    <w:rsid w:val="00B25218"/>
    <w:rsid w:val="00B26016"/>
    <w:rsid w:val="00B33BA9"/>
    <w:rsid w:val="00B33DEE"/>
    <w:rsid w:val="00B3739B"/>
    <w:rsid w:val="00B451E1"/>
    <w:rsid w:val="00B461F8"/>
    <w:rsid w:val="00B46939"/>
    <w:rsid w:val="00B51858"/>
    <w:rsid w:val="00B554C1"/>
    <w:rsid w:val="00B56103"/>
    <w:rsid w:val="00B56553"/>
    <w:rsid w:val="00B57356"/>
    <w:rsid w:val="00B603C2"/>
    <w:rsid w:val="00B60D04"/>
    <w:rsid w:val="00B61791"/>
    <w:rsid w:val="00B61D83"/>
    <w:rsid w:val="00B6240D"/>
    <w:rsid w:val="00B633E5"/>
    <w:rsid w:val="00B6623F"/>
    <w:rsid w:val="00B66368"/>
    <w:rsid w:val="00B7032A"/>
    <w:rsid w:val="00B72715"/>
    <w:rsid w:val="00B72A55"/>
    <w:rsid w:val="00B746CB"/>
    <w:rsid w:val="00B74AFF"/>
    <w:rsid w:val="00B74CA1"/>
    <w:rsid w:val="00B74D8C"/>
    <w:rsid w:val="00B75C38"/>
    <w:rsid w:val="00B776CB"/>
    <w:rsid w:val="00B813B2"/>
    <w:rsid w:val="00B84758"/>
    <w:rsid w:val="00B857FD"/>
    <w:rsid w:val="00B85DA1"/>
    <w:rsid w:val="00B864D5"/>
    <w:rsid w:val="00B90FEC"/>
    <w:rsid w:val="00B91AFC"/>
    <w:rsid w:val="00B92850"/>
    <w:rsid w:val="00B93A7C"/>
    <w:rsid w:val="00B94A58"/>
    <w:rsid w:val="00B951D7"/>
    <w:rsid w:val="00BA09BE"/>
    <w:rsid w:val="00BA339E"/>
    <w:rsid w:val="00BA3491"/>
    <w:rsid w:val="00BA3B18"/>
    <w:rsid w:val="00BB024A"/>
    <w:rsid w:val="00BB0860"/>
    <w:rsid w:val="00BB22DC"/>
    <w:rsid w:val="00BB2BCE"/>
    <w:rsid w:val="00BB3566"/>
    <w:rsid w:val="00BB4878"/>
    <w:rsid w:val="00BB759D"/>
    <w:rsid w:val="00BB7A79"/>
    <w:rsid w:val="00BC15FB"/>
    <w:rsid w:val="00BC2DD9"/>
    <w:rsid w:val="00BC6B5A"/>
    <w:rsid w:val="00BD1526"/>
    <w:rsid w:val="00BD1634"/>
    <w:rsid w:val="00BD20DD"/>
    <w:rsid w:val="00BD34E3"/>
    <w:rsid w:val="00BD4111"/>
    <w:rsid w:val="00BD47EF"/>
    <w:rsid w:val="00BE33B5"/>
    <w:rsid w:val="00BE54C2"/>
    <w:rsid w:val="00BE7A79"/>
    <w:rsid w:val="00BF2960"/>
    <w:rsid w:val="00BF2966"/>
    <w:rsid w:val="00BF3279"/>
    <w:rsid w:val="00BF76CC"/>
    <w:rsid w:val="00C04AAD"/>
    <w:rsid w:val="00C06601"/>
    <w:rsid w:val="00C12034"/>
    <w:rsid w:val="00C12F5D"/>
    <w:rsid w:val="00C1516F"/>
    <w:rsid w:val="00C153D2"/>
    <w:rsid w:val="00C219C4"/>
    <w:rsid w:val="00C23C0E"/>
    <w:rsid w:val="00C2763C"/>
    <w:rsid w:val="00C27AA3"/>
    <w:rsid w:val="00C27F87"/>
    <w:rsid w:val="00C300A0"/>
    <w:rsid w:val="00C304A6"/>
    <w:rsid w:val="00C30B53"/>
    <w:rsid w:val="00C35EFB"/>
    <w:rsid w:val="00C433EB"/>
    <w:rsid w:val="00C43CF5"/>
    <w:rsid w:val="00C43E7E"/>
    <w:rsid w:val="00C43F00"/>
    <w:rsid w:val="00C44252"/>
    <w:rsid w:val="00C44284"/>
    <w:rsid w:val="00C442DB"/>
    <w:rsid w:val="00C44BC2"/>
    <w:rsid w:val="00C4502B"/>
    <w:rsid w:val="00C4514A"/>
    <w:rsid w:val="00C45E9C"/>
    <w:rsid w:val="00C46ABE"/>
    <w:rsid w:val="00C46E31"/>
    <w:rsid w:val="00C46F7F"/>
    <w:rsid w:val="00C5341B"/>
    <w:rsid w:val="00C53DD9"/>
    <w:rsid w:val="00C550D4"/>
    <w:rsid w:val="00C55470"/>
    <w:rsid w:val="00C57F89"/>
    <w:rsid w:val="00C60B9E"/>
    <w:rsid w:val="00C67E8D"/>
    <w:rsid w:val="00C70A88"/>
    <w:rsid w:val="00C7126F"/>
    <w:rsid w:val="00C73731"/>
    <w:rsid w:val="00C74D04"/>
    <w:rsid w:val="00C756F0"/>
    <w:rsid w:val="00C75986"/>
    <w:rsid w:val="00C75A72"/>
    <w:rsid w:val="00C77468"/>
    <w:rsid w:val="00C803EE"/>
    <w:rsid w:val="00C81719"/>
    <w:rsid w:val="00C81E61"/>
    <w:rsid w:val="00C8208E"/>
    <w:rsid w:val="00C83364"/>
    <w:rsid w:val="00C83D0D"/>
    <w:rsid w:val="00C86D01"/>
    <w:rsid w:val="00C8788E"/>
    <w:rsid w:val="00C906B2"/>
    <w:rsid w:val="00C90A40"/>
    <w:rsid w:val="00C92B6A"/>
    <w:rsid w:val="00C9590E"/>
    <w:rsid w:val="00CA6863"/>
    <w:rsid w:val="00CB0C23"/>
    <w:rsid w:val="00CB28C7"/>
    <w:rsid w:val="00CC0ADC"/>
    <w:rsid w:val="00CC2675"/>
    <w:rsid w:val="00CC48D2"/>
    <w:rsid w:val="00CC5417"/>
    <w:rsid w:val="00CC59C7"/>
    <w:rsid w:val="00CC716B"/>
    <w:rsid w:val="00CC7807"/>
    <w:rsid w:val="00CD0948"/>
    <w:rsid w:val="00CD1F7A"/>
    <w:rsid w:val="00CD6066"/>
    <w:rsid w:val="00CD72F2"/>
    <w:rsid w:val="00CD7520"/>
    <w:rsid w:val="00CE168B"/>
    <w:rsid w:val="00CE19AD"/>
    <w:rsid w:val="00CE2475"/>
    <w:rsid w:val="00CE2EDC"/>
    <w:rsid w:val="00CE2F72"/>
    <w:rsid w:val="00CE386A"/>
    <w:rsid w:val="00CE5E4F"/>
    <w:rsid w:val="00CE6AC9"/>
    <w:rsid w:val="00CE7B22"/>
    <w:rsid w:val="00CF17FB"/>
    <w:rsid w:val="00CF2AA9"/>
    <w:rsid w:val="00CF420C"/>
    <w:rsid w:val="00CF505C"/>
    <w:rsid w:val="00CF5656"/>
    <w:rsid w:val="00CF5718"/>
    <w:rsid w:val="00CF5BE7"/>
    <w:rsid w:val="00CF5E9A"/>
    <w:rsid w:val="00CF672B"/>
    <w:rsid w:val="00CF7C13"/>
    <w:rsid w:val="00D03A56"/>
    <w:rsid w:val="00D04A8C"/>
    <w:rsid w:val="00D04C4A"/>
    <w:rsid w:val="00D0570B"/>
    <w:rsid w:val="00D10136"/>
    <w:rsid w:val="00D1021F"/>
    <w:rsid w:val="00D112C9"/>
    <w:rsid w:val="00D12021"/>
    <w:rsid w:val="00D13292"/>
    <w:rsid w:val="00D13F60"/>
    <w:rsid w:val="00D210A5"/>
    <w:rsid w:val="00D245EE"/>
    <w:rsid w:val="00D30535"/>
    <w:rsid w:val="00D30EF0"/>
    <w:rsid w:val="00D3311C"/>
    <w:rsid w:val="00D34FAF"/>
    <w:rsid w:val="00D420A4"/>
    <w:rsid w:val="00D433CF"/>
    <w:rsid w:val="00D43B36"/>
    <w:rsid w:val="00D45A45"/>
    <w:rsid w:val="00D462DF"/>
    <w:rsid w:val="00D53932"/>
    <w:rsid w:val="00D54378"/>
    <w:rsid w:val="00D56474"/>
    <w:rsid w:val="00D60B61"/>
    <w:rsid w:val="00D639C1"/>
    <w:rsid w:val="00D642EF"/>
    <w:rsid w:val="00D64CCF"/>
    <w:rsid w:val="00D64DE2"/>
    <w:rsid w:val="00D666FC"/>
    <w:rsid w:val="00D7153F"/>
    <w:rsid w:val="00D71D36"/>
    <w:rsid w:val="00D74DCC"/>
    <w:rsid w:val="00D82C63"/>
    <w:rsid w:val="00D84A6C"/>
    <w:rsid w:val="00D84B54"/>
    <w:rsid w:val="00D85704"/>
    <w:rsid w:val="00D87D21"/>
    <w:rsid w:val="00D92F08"/>
    <w:rsid w:val="00D93CD8"/>
    <w:rsid w:val="00DA0125"/>
    <w:rsid w:val="00DA19C5"/>
    <w:rsid w:val="00DA435D"/>
    <w:rsid w:val="00DA51AB"/>
    <w:rsid w:val="00DA594B"/>
    <w:rsid w:val="00DB3A18"/>
    <w:rsid w:val="00DB6A2B"/>
    <w:rsid w:val="00DB7178"/>
    <w:rsid w:val="00DC6793"/>
    <w:rsid w:val="00DC6CE9"/>
    <w:rsid w:val="00DD0A88"/>
    <w:rsid w:val="00DD0AD9"/>
    <w:rsid w:val="00DD1064"/>
    <w:rsid w:val="00DD72C8"/>
    <w:rsid w:val="00DE02F5"/>
    <w:rsid w:val="00DE0859"/>
    <w:rsid w:val="00DE093B"/>
    <w:rsid w:val="00DE3366"/>
    <w:rsid w:val="00DE3475"/>
    <w:rsid w:val="00DE772D"/>
    <w:rsid w:val="00DF07DA"/>
    <w:rsid w:val="00DF28DD"/>
    <w:rsid w:val="00DF39D9"/>
    <w:rsid w:val="00DF4763"/>
    <w:rsid w:val="00DF7BE1"/>
    <w:rsid w:val="00E03E69"/>
    <w:rsid w:val="00E041F7"/>
    <w:rsid w:val="00E04730"/>
    <w:rsid w:val="00E04F59"/>
    <w:rsid w:val="00E05DE9"/>
    <w:rsid w:val="00E06129"/>
    <w:rsid w:val="00E10E04"/>
    <w:rsid w:val="00E14163"/>
    <w:rsid w:val="00E1525C"/>
    <w:rsid w:val="00E164D8"/>
    <w:rsid w:val="00E21B2E"/>
    <w:rsid w:val="00E22E8B"/>
    <w:rsid w:val="00E25E93"/>
    <w:rsid w:val="00E26EAD"/>
    <w:rsid w:val="00E27B8E"/>
    <w:rsid w:val="00E36525"/>
    <w:rsid w:val="00E4266E"/>
    <w:rsid w:val="00E43D9D"/>
    <w:rsid w:val="00E5040A"/>
    <w:rsid w:val="00E50E20"/>
    <w:rsid w:val="00E540EE"/>
    <w:rsid w:val="00E555A1"/>
    <w:rsid w:val="00E55FF6"/>
    <w:rsid w:val="00E563EE"/>
    <w:rsid w:val="00E602B7"/>
    <w:rsid w:val="00E60414"/>
    <w:rsid w:val="00E63388"/>
    <w:rsid w:val="00E635E8"/>
    <w:rsid w:val="00E63C72"/>
    <w:rsid w:val="00E66096"/>
    <w:rsid w:val="00E67570"/>
    <w:rsid w:val="00E70B91"/>
    <w:rsid w:val="00E70BBA"/>
    <w:rsid w:val="00E70E24"/>
    <w:rsid w:val="00E7106C"/>
    <w:rsid w:val="00E728A5"/>
    <w:rsid w:val="00E728E2"/>
    <w:rsid w:val="00E732F5"/>
    <w:rsid w:val="00E733DB"/>
    <w:rsid w:val="00E75EF9"/>
    <w:rsid w:val="00E7611C"/>
    <w:rsid w:val="00E76D08"/>
    <w:rsid w:val="00E76EBC"/>
    <w:rsid w:val="00E77B9E"/>
    <w:rsid w:val="00E77E35"/>
    <w:rsid w:val="00E77F23"/>
    <w:rsid w:val="00E84E6D"/>
    <w:rsid w:val="00E852AF"/>
    <w:rsid w:val="00E8647E"/>
    <w:rsid w:val="00E864AD"/>
    <w:rsid w:val="00E86932"/>
    <w:rsid w:val="00E87A99"/>
    <w:rsid w:val="00E87B09"/>
    <w:rsid w:val="00E9072B"/>
    <w:rsid w:val="00E908FD"/>
    <w:rsid w:val="00E91073"/>
    <w:rsid w:val="00E91B47"/>
    <w:rsid w:val="00E96222"/>
    <w:rsid w:val="00EA06A0"/>
    <w:rsid w:val="00EA0EB4"/>
    <w:rsid w:val="00EA17FF"/>
    <w:rsid w:val="00EA7CE3"/>
    <w:rsid w:val="00EB0BFC"/>
    <w:rsid w:val="00EB1437"/>
    <w:rsid w:val="00EB1C9F"/>
    <w:rsid w:val="00EB5F28"/>
    <w:rsid w:val="00EB6014"/>
    <w:rsid w:val="00EB68C9"/>
    <w:rsid w:val="00EB78EE"/>
    <w:rsid w:val="00EC0130"/>
    <w:rsid w:val="00EC22B5"/>
    <w:rsid w:val="00EC28C9"/>
    <w:rsid w:val="00EC3EFB"/>
    <w:rsid w:val="00EC51DC"/>
    <w:rsid w:val="00ED186A"/>
    <w:rsid w:val="00ED2BDA"/>
    <w:rsid w:val="00ED3D1F"/>
    <w:rsid w:val="00ED4E47"/>
    <w:rsid w:val="00ED63CE"/>
    <w:rsid w:val="00ED7650"/>
    <w:rsid w:val="00ED788C"/>
    <w:rsid w:val="00EE0997"/>
    <w:rsid w:val="00EE31C4"/>
    <w:rsid w:val="00EE5543"/>
    <w:rsid w:val="00EE632D"/>
    <w:rsid w:val="00EE7AF7"/>
    <w:rsid w:val="00EF33D1"/>
    <w:rsid w:val="00EF387A"/>
    <w:rsid w:val="00EF7D1B"/>
    <w:rsid w:val="00F006F0"/>
    <w:rsid w:val="00F008B6"/>
    <w:rsid w:val="00F02FE3"/>
    <w:rsid w:val="00F06822"/>
    <w:rsid w:val="00F07B94"/>
    <w:rsid w:val="00F1142D"/>
    <w:rsid w:val="00F14531"/>
    <w:rsid w:val="00F15261"/>
    <w:rsid w:val="00F160D2"/>
    <w:rsid w:val="00F17D3B"/>
    <w:rsid w:val="00F23167"/>
    <w:rsid w:val="00F23A80"/>
    <w:rsid w:val="00F316C3"/>
    <w:rsid w:val="00F35B99"/>
    <w:rsid w:val="00F37220"/>
    <w:rsid w:val="00F40341"/>
    <w:rsid w:val="00F40A9A"/>
    <w:rsid w:val="00F4360F"/>
    <w:rsid w:val="00F454E8"/>
    <w:rsid w:val="00F505E4"/>
    <w:rsid w:val="00F51C41"/>
    <w:rsid w:val="00F520D3"/>
    <w:rsid w:val="00F54B20"/>
    <w:rsid w:val="00F551B5"/>
    <w:rsid w:val="00F55AA1"/>
    <w:rsid w:val="00F5673C"/>
    <w:rsid w:val="00F56B55"/>
    <w:rsid w:val="00F6128A"/>
    <w:rsid w:val="00F61D6F"/>
    <w:rsid w:val="00F62EA8"/>
    <w:rsid w:val="00F63F62"/>
    <w:rsid w:val="00F6521B"/>
    <w:rsid w:val="00F67794"/>
    <w:rsid w:val="00F67865"/>
    <w:rsid w:val="00F70FBA"/>
    <w:rsid w:val="00F71878"/>
    <w:rsid w:val="00F733E9"/>
    <w:rsid w:val="00F73C5A"/>
    <w:rsid w:val="00F744A1"/>
    <w:rsid w:val="00F7549A"/>
    <w:rsid w:val="00F7648E"/>
    <w:rsid w:val="00F77991"/>
    <w:rsid w:val="00F831F6"/>
    <w:rsid w:val="00F84365"/>
    <w:rsid w:val="00F9119A"/>
    <w:rsid w:val="00F93B81"/>
    <w:rsid w:val="00F948A7"/>
    <w:rsid w:val="00F94A5A"/>
    <w:rsid w:val="00F97ADD"/>
    <w:rsid w:val="00FA317C"/>
    <w:rsid w:val="00FA379F"/>
    <w:rsid w:val="00FA5BE5"/>
    <w:rsid w:val="00FA5CCF"/>
    <w:rsid w:val="00FA7A8A"/>
    <w:rsid w:val="00FB0647"/>
    <w:rsid w:val="00FB41EE"/>
    <w:rsid w:val="00FB439F"/>
    <w:rsid w:val="00FB43AA"/>
    <w:rsid w:val="00FB56C7"/>
    <w:rsid w:val="00FB7AC5"/>
    <w:rsid w:val="00FC0AAC"/>
    <w:rsid w:val="00FC0D70"/>
    <w:rsid w:val="00FC16A6"/>
    <w:rsid w:val="00FC1B35"/>
    <w:rsid w:val="00FC2A24"/>
    <w:rsid w:val="00FC3899"/>
    <w:rsid w:val="00FC3F9B"/>
    <w:rsid w:val="00FC51E0"/>
    <w:rsid w:val="00FC549A"/>
    <w:rsid w:val="00FC5E73"/>
    <w:rsid w:val="00FC60ED"/>
    <w:rsid w:val="00FD1508"/>
    <w:rsid w:val="00FD26A0"/>
    <w:rsid w:val="00FD2AF2"/>
    <w:rsid w:val="00FD5535"/>
    <w:rsid w:val="00FD604C"/>
    <w:rsid w:val="00FD65D5"/>
    <w:rsid w:val="00FD690B"/>
    <w:rsid w:val="00FE03DA"/>
    <w:rsid w:val="00FE4A4C"/>
    <w:rsid w:val="00FE5642"/>
    <w:rsid w:val="00FE6E0E"/>
    <w:rsid w:val="00FF088F"/>
    <w:rsid w:val="00FF1260"/>
    <w:rsid w:val="00FF3FEB"/>
    <w:rsid w:val="00FF486C"/>
    <w:rsid w:val="00FF4B39"/>
    <w:rsid w:val="00FF5EB3"/>
    <w:rsid w:val="00FF5F84"/>
    <w:rsid w:val="014100DA"/>
    <w:rsid w:val="017A2DF6"/>
    <w:rsid w:val="019A0772"/>
    <w:rsid w:val="019F6D19"/>
    <w:rsid w:val="01A73D87"/>
    <w:rsid w:val="02012C64"/>
    <w:rsid w:val="02155CC8"/>
    <w:rsid w:val="0231511A"/>
    <w:rsid w:val="02654D3E"/>
    <w:rsid w:val="027073D3"/>
    <w:rsid w:val="027A49A4"/>
    <w:rsid w:val="02887413"/>
    <w:rsid w:val="02C61BE9"/>
    <w:rsid w:val="031F7F62"/>
    <w:rsid w:val="03233FEF"/>
    <w:rsid w:val="032B2692"/>
    <w:rsid w:val="033F0F73"/>
    <w:rsid w:val="03932150"/>
    <w:rsid w:val="03C41EBC"/>
    <w:rsid w:val="03CE1443"/>
    <w:rsid w:val="03DF40CB"/>
    <w:rsid w:val="041C2DFE"/>
    <w:rsid w:val="04293179"/>
    <w:rsid w:val="04A455CC"/>
    <w:rsid w:val="04B12D67"/>
    <w:rsid w:val="04BD4FE9"/>
    <w:rsid w:val="050414F1"/>
    <w:rsid w:val="050B1F2B"/>
    <w:rsid w:val="057070ED"/>
    <w:rsid w:val="0576723F"/>
    <w:rsid w:val="05CC58ED"/>
    <w:rsid w:val="060259E5"/>
    <w:rsid w:val="063C5A1A"/>
    <w:rsid w:val="067A7210"/>
    <w:rsid w:val="06926323"/>
    <w:rsid w:val="06964BD5"/>
    <w:rsid w:val="06D4096D"/>
    <w:rsid w:val="07244CE2"/>
    <w:rsid w:val="073D2BE1"/>
    <w:rsid w:val="074900A9"/>
    <w:rsid w:val="076E1E11"/>
    <w:rsid w:val="0772291B"/>
    <w:rsid w:val="077B0B4F"/>
    <w:rsid w:val="07BA315D"/>
    <w:rsid w:val="07C55987"/>
    <w:rsid w:val="080222D6"/>
    <w:rsid w:val="08116599"/>
    <w:rsid w:val="0814276A"/>
    <w:rsid w:val="08387E2F"/>
    <w:rsid w:val="083B2F7E"/>
    <w:rsid w:val="086311BC"/>
    <w:rsid w:val="090F4A6C"/>
    <w:rsid w:val="09415BCC"/>
    <w:rsid w:val="09435E50"/>
    <w:rsid w:val="095B3F74"/>
    <w:rsid w:val="097258FA"/>
    <w:rsid w:val="09743D7F"/>
    <w:rsid w:val="09946700"/>
    <w:rsid w:val="09AD5A7C"/>
    <w:rsid w:val="09EC23FF"/>
    <w:rsid w:val="0A044101"/>
    <w:rsid w:val="0A360753"/>
    <w:rsid w:val="0A62640E"/>
    <w:rsid w:val="0A6F181E"/>
    <w:rsid w:val="0A7F683B"/>
    <w:rsid w:val="0A8B2E1B"/>
    <w:rsid w:val="0ABB3F15"/>
    <w:rsid w:val="0AF5753C"/>
    <w:rsid w:val="0AFE03EA"/>
    <w:rsid w:val="0B0310F6"/>
    <w:rsid w:val="0B372A66"/>
    <w:rsid w:val="0B8115C2"/>
    <w:rsid w:val="0B8C392D"/>
    <w:rsid w:val="0BF6637A"/>
    <w:rsid w:val="0C2B1A59"/>
    <w:rsid w:val="0C6C2349"/>
    <w:rsid w:val="0C7A3371"/>
    <w:rsid w:val="0CAA549B"/>
    <w:rsid w:val="0CB02601"/>
    <w:rsid w:val="0CCA2980"/>
    <w:rsid w:val="0CF2172A"/>
    <w:rsid w:val="0D0C271C"/>
    <w:rsid w:val="0D1224FB"/>
    <w:rsid w:val="0D1565D9"/>
    <w:rsid w:val="0D335C97"/>
    <w:rsid w:val="0D361681"/>
    <w:rsid w:val="0D475B4A"/>
    <w:rsid w:val="0D6478F8"/>
    <w:rsid w:val="0DEE56B0"/>
    <w:rsid w:val="0E046E58"/>
    <w:rsid w:val="0E084221"/>
    <w:rsid w:val="0E0B181B"/>
    <w:rsid w:val="0E3F1ACC"/>
    <w:rsid w:val="0E4A3800"/>
    <w:rsid w:val="0E6A278D"/>
    <w:rsid w:val="0E89775A"/>
    <w:rsid w:val="0E927849"/>
    <w:rsid w:val="0EC0292C"/>
    <w:rsid w:val="0EC25122"/>
    <w:rsid w:val="0EF267AF"/>
    <w:rsid w:val="0F052F6C"/>
    <w:rsid w:val="0F4A504B"/>
    <w:rsid w:val="0F4A6891"/>
    <w:rsid w:val="0F613460"/>
    <w:rsid w:val="0F912D4B"/>
    <w:rsid w:val="0F963146"/>
    <w:rsid w:val="0FCF697B"/>
    <w:rsid w:val="0FDD414B"/>
    <w:rsid w:val="1046331C"/>
    <w:rsid w:val="109B53FF"/>
    <w:rsid w:val="109C3A71"/>
    <w:rsid w:val="10AE7C8F"/>
    <w:rsid w:val="10CC014A"/>
    <w:rsid w:val="10CC48C6"/>
    <w:rsid w:val="11051C26"/>
    <w:rsid w:val="115D02E5"/>
    <w:rsid w:val="117730EB"/>
    <w:rsid w:val="11A76CD1"/>
    <w:rsid w:val="11F81C72"/>
    <w:rsid w:val="12297E8B"/>
    <w:rsid w:val="125701C7"/>
    <w:rsid w:val="130B2D01"/>
    <w:rsid w:val="131B2EB0"/>
    <w:rsid w:val="13525487"/>
    <w:rsid w:val="13C92348"/>
    <w:rsid w:val="13F07810"/>
    <w:rsid w:val="13F20106"/>
    <w:rsid w:val="141548BD"/>
    <w:rsid w:val="141B0D79"/>
    <w:rsid w:val="142864FC"/>
    <w:rsid w:val="143243E7"/>
    <w:rsid w:val="143C6075"/>
    <w:rsid w:val="14571442"/>
    <w:rsid w:val="14654A29"/>
    <w:rsid w:val="147C013D"/>
    <w:rsid w:val="14B71CE6"/>
    <w:rsid w:val="14B81F8C"/>
    <w:rsid w:val="14E03E6F"/>
    <w:rsid w:val="14E23FA3"/>
    <w:rsid w:val="1503565B"/>
    <w:rsid w:val="154C0B76"/>
    <w:rsid w:val="156D52D0"/>
    <w:rsid w:val="15B53995"/>
    <w:rsid w:val="15F379B6"/>
    <w:rsid w:val="160B4588"/>
    <w:rsid w:val="161003F8"/>
    <w:rsid w:val="165E1AF9"/>
    <w:rsid w:val="16761466"/>
    <w:rsid w:val="1679397B"/>
    <w:rsid w:val="168135D8"/>
    <w:rsid w:val="16C40E0C"/>
    <w:rsid w:val="17034910"/>
    <w:rsid w:val="170E0E19"/>
    <w:rsid w:val="17211998"/>
    <w:rsid w:val="177F5112"/>
    <w:rsid w:val="1787132F"/>
    <w:rsid w:val="17984446"/>
    <w:rsid w:val="17984E07"/>
    <w:rsid w:val="17A42813"/>
    <w:rsid w:val="17F06B2A"/>
    <w:rsid w:val="17F90E59"/>
    <w:rsid w:val="18583FC2"/>
    <w:rsid w:val="186E3CA0"/>
    <w:rsid w:val="18832D98"/>
    <w:rsid w:val="188E3A88"/>
    <w:rsid w:val="18B162C4"/>
    <w:rsid w:val="18C56A35"/>
    <w:rsid w:val="18F155B7"/>
    <w:rsid w:val="18F532E5"/>
    <w:rsid w:val="18F541A8"/>
    <w:rsid w:val="18FC49E8"/>
    <w:rsid w:val="190D3379"/>
    <w:rsid w:val="191F598E"/>
    <w:rsid w:val="19A30C86"/>
    <w:rsid w:val="19C75494"/>
    <w:rsid w:val="19ED659F"/>
    <w:rsid w:val="1A4D46A5"/>
    <w:rsid w:val="1A7C079A"/>
    <w:rsid w:val="1A86293E"/>
    <w:rsid w:val="1AD8774D"/>
    <w:rsid w:val="1AFE2A1C"/>
    <w:rsid w:val="1B2B46FD"/>
    <w:rsid w:val="1B411494"/>
    <w:rsid w:val="1B4514BD"/>
    <w:rsid w:val="1B4E5A9C"/>
    <w:rsid w:val="1B697489"/>
    <w:rsid w:val="1B866287"/>
    <w:rsid w:val="1B91454A"/>
    <w:rsid w:val="1BA46BFA"/>
    <w:rsid w:val="1BB456CA"/>
    <w:rsid w:val="1BBE4BBF"/>
    <w:rsid w:val="1C100015"/>
    <w:rsid w:val="1C3C7173"/>
    <w:rsid w:val="1C7703AB"/>
    <w:rsid w:val="1CC2653A"/>
    <w:rsid w:val="1D0E344A"/>
    <w:rsid w:val="1D3B522D"/>
    <w:rsid w:val="1D5429EC"/>
    <w:rsid w:val="1D967BD7"/>
    <w:rsid w:val="1DCD4D52"/>
    <w:rsid w:val="1E732677"/>
    <w:rsid w:val="1ECB794B"/>
    <w:rsid w:val="1EED61CB"/>
    <w:rsid w:val="1EF6401E"/>
    <w:rsid w:val="1F070539"/>
    <w:rsid w:val="1F093D75"/>
    <w:rsid w:val="1F0D6EFE"/>
    <w:rsid w:val="1F0F1E0A"/>
    <w:rsid w:val="1F173D5E"/>
    <w:rsid w:val="1F3D41AB"/>
    <w:rsid w:val="1F3E0D19"/>
    <w:rsid w:val="1F3E1766"/>
    <w:rsid w:val="1F5547FB"/>
    <w:rsid w:val="1F5E5FF8"/>
    <w:rsid w:val="1F970ED3"/>
    <w:rsid w:val="1FB60599"/>
    <w:rsid w:val="1FBB696E"/>
    <w:rsid w:val="1FD64D23"/>
    <w:rsid w:val="1FE02184"/>
    <w:rsid w:val="1FF04934"/>
    <w:rsid w:val="1FFC5589"/>
    <w:rsid w:val="20343B3D"/>
    <w:rsid w:val="203B6A0B"/>
    <w:rsid w:val="20554D5E"/>
    <w:rsid w:val="205A3CFC"/>
    <w:rsid w:val="206025A7"/>
    <w:rsid w:val="20646919"/>
    <w:rsid w:val="206F72EA"/>
    <w:rsid w:val="20C46F55"/>
    <w:rsid w:val="20ED0D46"/>
    <w:rsid w:val="20FC391D"/>
    <w:rsid w:val="210319CF"/>
    <w:rsid w:val="21147C23"/>
    <w:rsid w:val="212C6CD9"/>
    <w:rsid w:val="21542457"/>
    <w:rsid w:val="21D50B04"/>
    <w:rsid w:val="21DF238F"/>
    <w:rsid w:val="22304438"/>
    <w:rsid w:val="22334010"/>
    <w:rsid w:val="22352DAF"/>
    <w:rsid w:val="227B7612"/>
    <w:rsid w:val="2283390C"/>
    <w:rsid w:val="228729D4"/>
    <w:rsid w:val="22914F92"/>
    <w:rsid w:val="229B303C"/>
    <w:rsid w:val="22A6454F"/>
    <w:rsid w:val="22EC3C32"/>
    <w:rsid w:val="22EF3715"/>
    <w:rsid w:val="231C07EE"/>
    <w:rsid w:val="233A2855"/>
    <w:rsid w:val="233C6296"/>
    <w:rsid w:val="237B2077"/>
    <w:rsid w:val="23840F29"/>
    <w:rsid w:val="239749A3"/>
    <w:rsid w:val="239810CE"/>
    <w:rsid w:val="239A1546"/>
    <w:rsid w:val="239E0BB9"/>
    <w:rsid w:val="23A44C61"/>
    <w:rsid w:val="23A742AE"/>
    <w:rsid w:val="23B928E1"/>
    <w:rsid w:val="2407700A"/>
    <w:rsid w:val="242C7476"/>
    <w:rsid w:val="24341FDE"/>
    <w:rsid w:val="246E6F1C"/>
    <w:rsid w:val="24B8103C"/>
    <w:rsid w:val="24BA36FA"/>
    <w:rsid w:val="24C63604"/>
    <w:rsid w:val="24D05015"/>
    <w:rsid w:val="25682B45"/>
    <w:rsid w:val="25A17CC6"/>
    <w:rsid w:val="25EC7470"/>
    <w:rsid w:val="2617647B"/>
    <w:rsid w:val="264173B8"/>
    <w:rsid w:val="26421D34"/>
    <w:rsid w:val="26517134"/>
    <w:rsid w:val="26776AE8"/>
    <w:rsid w:val="26993146"/>
    <w:rsid w:val="26B00092"/>
    <w:rsid w:val="26CA678F"/>
    <w:rsid w:val="26DB0D9B"/>
    <w:rsid w:val="26F069DA"/>
    <w:rsid w:val="2723368B"/>
    <w:rsid w:val="273535C0"/>
    <w:rsid w:val="27BC78BA"/>
    <w:rsid w:val="27BE1040"/>
    <w:rsid w:val="27CA347B"/>
    <w:rsid w:val="27D80F5B"/>
    <w:rsid w:val="27DA6B63"/>
    <w:rsid w:val="280237BD"/>
    <w:rsid w:val="28085EFD"/>
    <w:rsid w:val="28202675"/>
    <w:rsid w:val="282D240E"/>
    <w:rsid w:val="28335AB9"/>
    <w:rsid w:val="286036CB"/>
    <w:rsid w:val="287E64FF"/>
    <w:rsid w:val="28D12FA6"/>
    <w:rsid w:val="28E51731"/>
    <w:rsid w:val="28EB7DAF"/>
    <w:rsid w:val="2903722A"/>
    <w:rsid w:val="29526899"/>
    <w:rsid w:val="295A4AA7"/>
    <w:rsid w:val="296B03C0"/>
    <w:rsid w:val="298A6D50"/>
    <w:rsid w:val="29966554"/>
    <w:rsid w:val="2998265B"/>
    <w:rsid w:val="29AC6E61"/>
    <w:rsid w:val="29B04149"/>
    <w:rsid w:val="29E26FA3"/>
    <w:rsid w:val="29E82A72"/>
    <w:rsid w:val="29FF03ED"/>
    <w:rsid w:val="2A197A7A"/>
    <w:rsid w:val="2A3632EA"/>
    <w:rsid w:val="2A494F33"/>
    <w:rsid w:val="2A556736"/>
    <w:rsid w:val="2A5C3E82"/>
    <w:rsid w:val="2A6774A0"/>
    <w:rsid w:val="2A7D071D"/>
    <w:rsid w:val="2AEA2303"/>
    <w:rsid w:val="2AF76673"/>
    <w:rsid w:val="2B023957"/>
    <w:rsid w:val="2B023F33"/>
    <w:rsid w:val="2B13660B"/>
    <w:rsid w:val="2B141804"/>
    <w:rsid w:val="2B1E5180"/>
    <w:rsid w:val="2B2E39F2"/>
    <w:rsid w:val="2B313E67"/>
    <w:rsid w:val="2B747B92"/>
    <w:rsid w:val="2B843FC7"/>
    <w:rsid w:val="2B88397C"/>
    <w:rsid w:val="2B95073F"/>
    <w:rsid w:val="2BC378D4"/>
    <w:rsid w:val="2BD9007C"/>
    <w:rsid w:val="2BE62446"/>
    <w:rsid w:val="2BED4310"/>
    <w:rsid w:val="2C0B0B34"/>
    <w:rsid w:val="2C0C4C44"/>
    <w:rsid w:val="2C392AF7"/>
    <w:rsid w:val="2C3957D5"/>
    <w:rsid w:val="2C3A601C"/>
    <w:rsid w:val="2C4800D5"/>
    <w:rsid w:val="2C4D37D6"/>
    <w:rsid w:val="2CAB4195"/>
    <w:rsid w:val="2CBD6F50"/>
    <w:rsid w:val="2D086D2D"/>
    <w:rsid w:val="2D2A1DD2"/>
    <w:rsid w:val="2D430B7C"/>
    <w:rsid w:val="2D453709"/>
    <w:rsid w:val="2D47113E"/>
    <w:rsid w:val="2D485B6F"/>
    <w:rsid w:val="2D513BFB"/>
    <w:rsid w:val="2D5944A8"/>
    <w:rsid w:val="2D7E0264"/>
    <w:rsid w:val="2D905712"/>
    <w:rsid w:val="2DA91038"/>
    <w:rsid w:val="2DDD5669"/>
    <w:rsid w:val="2E5905E0"/>
    <w:rsid w:val="2E66510B"/>
    <w:rsid w:val="2E7352C8"/>
    <w:rsid w:val="2E793D1B"/>
    <w:rsid w:val="2E7C5A4F"/>
    <w:rsid w:val="2E995694"/>
    <w:rsid w:val="2EDC3667"/>
    <w:rsid w:val="2EF064BE"/>
    <w:rsid w:val="2F313E72"/>
    <w:rsid w:val="2F3769F6"/>
    <w:rsid w:val="2F7E75D1"/>
    <w:rsid w:val="2F7F5C55"/>
    <w:rsid w:val="2FE10EE1"/>
    <w:rsid w:val="3032464D"/>
    <w:rsid w:val="3035097E"/>
    <w:rsid w:val="30501DD6"/>
    <w:rsid w:val="30783167"/>
    <w:rsid w:val="30A15299"/>
    <w:rsid w:val="30B448D9"/>
    <w:rsid w:val="30D169B8"/>
    <w:rsid w:val="30E30A3C"/>
    <w:rsid w:val="3147486D"/>
    <w:rsid w:val="31BD4D9E"/>
    <w:rsid w:val="31EA5DB4"/>
    <w:rsid w:val="31F72F61"/>
    <w:rsid w:val="322A6B50"/>
    <w:rsid w:val="326B10D9"/>
    <w:rsid w:val="326C06C8"/>
    <w:rsid w:val="3270328A"/>
    <w:rsid w:val="3273775B"/>
    <w:rsid w:val="32753F69"/>
    <w:rsid w:val="327934B5"/>
    <w:rsid w:val="32FB750E"/>
    <w:rsid w:val="3310473A"/>
    <w:rsid w:val="33465948"/>
    <w:rsid w:val="33594654"/>
    <w:rsid w:val="337D700C"/>
    <w:rsid w:val="33D26F41"/>
    <w:rsid w:val="33DE4DC9"/>
    <w:rsid w:val="34225A8B"/>
    <w:rsid w:val="34545EB6"/>
    <w:rsid w:val="347E7DAE"/>
    <w:rsid w:val="34EC2547"/>
    <w:rsid w:val="3501791E"/>
    <w:rsid w:val="350A3F32"/>
    <w:rsid w:val="350C155E"/>
    <w:rsid w:val="359304C3"/>
    <w:rsid w:val="35E73237"/>
    <w:rsid w:val="36330493"/>
    <w:rsid w:val="364B639A"/>
    <w:rsid w:val="366A2DFA"/>
    <w:rsid w:val="36A17ACF"/>
    <w:rsid w:val="36A55A29"/>
    <w:rsid w:val="36B45349"/>
    <w:rsid w:val="36C00BDC"/>
    <w:rsid w:val="36CC140A"/>
    <w:rsid w:val="36E0631A"/>
    <w:rsid w:val="3731632D"/>
    <w:rsid w:val="373456B9"/>
    <w:rsid w:val="373B7360"/>
    <w:rsid w:val="374B1570"/>
    <w:rsid w:val="37B82D9A"/>
    <w:rsid w:val="37D60DFF"/>
    <w:rsid w:val="37DE483D"/>
    <w:rsid w:val="380B6117"/>
    <w:rsid w:val="383F71B9"/>
    <w:rsid w:val="3872484A"/>
    <w:rsid w:val="38B81C81"/>
    <w:rsid w:val="38D17F1E"/>
    <w:rsid w:val="38F54996"/>
    <w:rsid w:val="38FF6856"/>
    <w:rsid w:val="398A093C"/>
    <w:rsid w:val="399D60E8"/>
    <w:rsid w:val="39A8590F"/>
    <w:rsid w:val="39B63B73"/>
    <w:rsid w:val="39CC50DB"/>
    <w:rsid w:val="39D0047D"/>
    <w:rsid w:val="39E17626"/>
    <w:rsid w:val="39EC44E1"/>
    <w:rsid w:val="39FB1D91"/>
    <w:rsid w:val="3A0F6AB5"/>
    <w:rsid w:val="3A2A3FDB"/>
    <w:rsid w:val="3A3017CC"/>
    <w:rsid w:val="3A396937"/>
    <w:rsid w:val="3A4B6CBF"/>
    <w:rsid w:val="3A5E0A10"/>
    <w:rsid w:val="3A8D1EA3"/>
    <w:rsid w:val="3A910AC1"/>
    <w:rsid w:val="3A982E5E"/>
    <w:rsid w:val="3A9903EE"/>
    <w:rsid w:val="3AA0727D"/>
    <w:rsid w:val="3AB53859"/>
    <w:rsid w:val="3AF72DAE"/>
    <w:rsid w:val="3B16594A"/>
    <w:rsid w:val="3B356674"/>
    <w:rsid w:val="3B4B1955"/>
    <w:rsid w:val="3B51775D"/>
    <w:rsid w:val="3B927514"/>
    <w:rsid w:val="3B9C27B6"/>
    <w:rsid w:val="3BA4342C"/>
    <w:rsid w:val="3BBD7F42"/>
    <w:rsid w:val="3C6B3FB2"/>
    <w:rsid w:val="3C7A7AFD"/>
    <w:rsid w:val="3C9C38A4"/>
    <w:rsid w:val="3CB2437C"/>
    <w:rsid w:val="3CD0502C"/>
    <w:rsid w:val="3CDB2893"/>
    <w:rsid w:val="3CDE0CFD"/>
    <w:rsid w:val="3D0904C6"/>
    <w:rsid w:val="3D0E1956"/>
    <w:rsid w:val="3D5C27F8"/>
    <w:rsid w:val="3D9D58F8"/>
    <w:rsid w:val="3DA172E7"/>
    <w:rsid w:val="3DB23AF4"/>
    <w:rsid w:val="3E227F77"/>
    <w:rsid w:val="3E2A6985"/>
    <w:rsid w:val="3E35559B"/>
    <w:rsid w:val="3E7433F9"/>
    <w:rsid w:val="3E752253"/>
    <w:rsid w:val="3E8B569B"/>
    <w:rsid w:val="3ECB7DA8"/>
    <w:rsid w:val="3EEC09D6"/>
    <w:rsid w:val="3EF2359C"/>
    <w:rsid w:val="3F0D4E6D"/>
    <w:rsid w:val="3F58484D"/>
    <w:rsid w:val="3F745290"/>
    <w:rsid w:val="3F8E0597"/>
    <w:rsid w:val="3F9168DA"/>
    <w:rsid w:val="3FC7326B"/>
    <w:rsid w:val="3FCA0F2D"/>
    <w:rsid w:val="3FD44BBA"/>
    <w:rsid w:val="3FEB209E"/>
    <w:rsid w:val="40266B34"/>
    <w:rsid w:val="402B6207"/>
    <w:rsid w:val="40736EF7"/>
    <w:rsid w:val="407D7E39"/>
    <w:rsid w:val="40BE0B05"/>
    <w:rsid w:val="41145841"/>
    <w:rsid w:val="416310D0"/>
    <w:rsid w:val="41824A13"/>
    <w:rsid w:val="41A55FDF"/>
    <w:rsid w:val="41D339DA"/>
    <w:rsid w:val="41DB1250"/>
    <w:rsid w:val="42082B3F"/>
    <w:rsid w:val="42104BEC"/>
    <w:rsid w:val="42180346"/>
    <w:rsid w:val="421F20F0"/>
    <w:rsid w:val="42241E55"/>
    <w:rsid w:val="428B2FDA"/>
    <w:rsid w:val="42B30A8D"/>
    <w:rsid w:val="42B6054B"/>
    <w:rsid w:val="42B84915"/>
    <w:rsid w:val="42CB72C7"/>
    <w:rsid w:val="42CF4B7D"/>
    <w:rsid w:val="42EF665D"/>
    <w:rsid w:val="42F9198D"/>
    <w:rsid w:val="42FE6736"/>
    <w:rsid w:val="431E0302"/>
    <w:rsid w:val="438155EB"/>
    <w:rsid w:val="43894571"/>
    <w:rsid w:val="438C3798"/>
    <w:rsid w:val="43A526AF"/>
    <w:rsid w:val="43CF0C49"/>
    <w:rsid w:val="43D32DB5"/>
    <w:rsid w:val="43F1132E"/>
    <w:rsid w:val="43F95D1B"/>
    <w:rsid w:val="445642CB"/>
    <w:rsid w:val="449E754C"/>
    <w:rsid w:val="44C1635C"/>
    <w:rsid w:val="44D6178B"/>
    <w:rsid w:val="44ED3E90"/>
    <w:rsid w:val="44FC7777"/>
    <w:rsid w:val="457E052E"/>
    <w:rsid w:val="45C11129"/>
    <w:rsid w:val="45C16154"/>
    <w:rsid w:val="45D333F3"/>
    <w:rsid w:val="45EE226A"/>
    <w:rsid w:val="45F013FE"/>
    <w:rsid w:val="46016457"/>
    <w:rsid w:val="46042570"/>
    <w:rsid w:val="460F66E8"/>
    <w:rsid w:val="4670270E"/>
    <w:rsid w:val="46C47C7A"/>
    <w:rsid w:val="46CE6F6E"/>
    <w:rsid w:val="46D0444B"/>
    <w:rsid w:val="46F174E5"/>
    <w:rsid w:val="46F94A26"/>
    <w:rsid w:val="472359F9"/>
    <w:rsid w:val="472C5341"/>
    <w:rsid w:val="47700A76"/>
    <w:rsid w:val="47C2242A"/>
    <w:rsid w:val="47C62C5E"/>
    <w:rsid w:val="47E2786A"/>
    <w:rsid w:val="47E6291B"/>
    <w:rsid w:val="48143CA5"/>
    <w:rsid w:val="482D7D2F"/>
    <w:rsid w:val="48316E4A"/>
    <w:rsid w:val="485E40A4"/>
    <w:rsid w:val="488863C6"/>
    <w:rsid w:val="489C1688"/>
    <w:rsid w:val="48C75E67"/>
    <w:rsid w:val="4910562E"/>
    <w:rsid w:val="495534FC"/>
    <w:rsid w:val="49711854"/>
    <w:rsid w:val="499565EB"/>
    <w:rsid w:val="49C24FFB"/>
    <w:rsid w:val="49C60421"/>
    <w:rsid w:val="49E85284"/>
    <w:rsid w:val="4A632962"/>
    <w:rsid w:val="4A75517D"/>
    <w:rsid w:val="4A993FEF"/>
    <w:rsid w:val="4A9F5775"/>
    <w:rsid w:val="4AA019AF"/>
    <w:rsid w:val="4B234337"/>
    <w:rsid w:val="4B402D4F"/>
    <w:rsid w:val="4B93440D"/>
    <w:rsid w:val="4BE84A7A"/>
    <w:rsid w:val="4BF422FC"/>
    <w:rsid w:val="4C0035F1"/>
    <w:rsid w:val="4C677180"/>
    <w:rsid w:val="4C6A1A0A"/>
    <w:rsid w:val="4C997D3D"/>
    <w:rsid w:val="4CA95F19"/>
    <w:rsid w:val="4CC172CB"/>
    <w:rsid w:val="4CDC3678"/>
    <w:rsid w:val="4CF015C2"/>
    <w:rsid w:val="4D0F0060"/>
    <w:rsid w:val="4D4225BA"/>
    <w:rsid w:val="4D4E33F0"/>
    <w:rsid w:val="4D5F5806"/>
    <w:rsid w:val="4DE024E9"/>
    <w:rsid w:val="4E007AFC"/>
    <w:rsid w:val="4E2419D6"/>
    <w:rsid w:val="4E361272"/>
    <w:rsid w:val="4E3B13B2"/>
    <w:rsid w:val="4E5636E1"/>
    <w:rsid w:val="4ED87E2C"/>
    <w:rsid w:val="4F037993"/>
    <w:rsid w:val="4F046CCC"/>
    <w:rsid w:val="4F1F40D6"/>
    <w:rsid w:val="4F8E4D32"/>
    <w:rsid w:val="4FB371C4"/>
    <w:rsid w:val="4FB37368"/>
    <w:rsid w:val="4FC275AB"/>
    <w:rsid w:val="4FDC73FB"/>
    <w:rsid w:val="50165969"/>
    <w:rsid w:val="5021421C"/>
    <w:rsid w:val="506D232F"/>
    <w:rsid w:val="507D1B45"/>
    <w:rsid w:val="50FD2838"/>
    <w:rsid w:val="51432821"/>
    <w:rsid w:val="516C00A4"/>
    <w:rsid w:val="51A33DCA"/>
    <w:rsid w:val="51BB57DA"/>
    <w:rsid w:val="51BF27E6"/>
    <w:rsid w:val="51F774AB"/>
    <w:rsid w:val="52032622"/>
    <w:rsid w:val="52312E93"/>
    <w:rsid w:val="523646D4"/>
    <w:rsid w:val="5272270C"/>
    <w:rsid w:val="527652A0"/>
    <w:rsid w:val="527D573E"/>
    <w:rsid w:val="52B77C06"/>
    <w:rsid w:val="530D49F3"/>
    <w:rsid w:val="532D0BDC"/>
    <w:rsid w:val="532F34D3"/>
    <w:rsid w:val="538B3923"/>
    <w:rsid w:val="539A2CFB"/>
    <w:rsid w:val="53DA4EEF"/>
    <w:rsid w:val="53FE71D1"/>
    <w:rsid w:val="54360C0B"/>
    <w:rsid w:val="549111E2"/>
    <w:rsid w:val="54B03D8D"/>
    <w:rsid w:val="54B21261"/>
    <w:rsid w:val="54BF01FD"/>
    <w:rsid w:val="54E33229"/>
    <w:rsid w:val="55200F90"/>
    <w:rsid w:val="55253275"/>
    <w:rsid w:val="5554794F"/>
    <w:rsid w:val="5573300A"/>
    <w:rsid w:val="55D401BB"/>
    <w:rsid w:val="55ED74AB"/>
    <w:rsid w:val="55F82164"/>
    <w:rsid w:val="55FF142D"/>
    <w:rsid w:val="56091A90"/>
    <w:rsid w:val="562A2FAB"/>
    <w:rsid w:val="568229C4"/>
    <w:rsid w:val="56B07A75"/>
    <w:rsid w:val="56F725FD"/>
    <w:rsid w:val="56FF04B7"/>
    <w:rsid w:val="571C35BA"/>
    <w:rsid w:val="5740249D"/>
    <w:rsid w:val="57604730"/>
    <w:rsid w:val="57866721"/>
    <w:rsid w:val="579413FA"/>
    <w:rsid w:val="57963673"/>
    <w:rsid w:val="57AD4F98"/>
    <w:rsid w:val="57B41DBB"/>
    <w:rsid w:val="57B638CA"/>
    <w:rsid w:val="57C95FDC"/>
    <w:rsid w:val="57EE23C0"/>
    <w:rsid w:val="58103F6C"/>
    <w:rsid w:val="582B1AF5"/>
    <w:rsid w:val="585B1881"/>
    <w:rsid w:val="5875488B"/>
    <w:rsid w:val="58C2702E"/>
    <w:rsid w:val="58D15AFD"/>
    <w:rsid w:val="58D54CFF"/>
    <w:rsid w:val="58DA0239"/>
    <w:rsid w:val="58DF643C"/>
    <w:rsid w:val="58E623EF"/>
    <w:rsid w:val="58EE3034"/>
    <w:rsid w:val="59031CEB"/>
    <w:rsid w:val="590D7AE9"/>
    <w:rsid w:val="595122D2"/>
    <w:rsid w:val="5969510F"/>
    <w:rsid w:val="596B77B0"/>
    <w:rsid w:val="59712385"/>
    <w:rsid w:val="59752E68"/>
    <w:rsid w:val="59833117"/>
    <w:rsid w:val="59ED6A86"/>
    <w:rsid w:val="59F91072"/>
    <w:rsid w:val="5A0A48EF"/>
    <w:rsid w:val="5A3768C2"/>
    <w:rsid w:val="5A5178B2"/>
    <w:rsid w:val="5A6007BB"/>
    <w:rsid w:val="5A911E04"/>
    <w:rsid w:val="5A93784F"/>
    <w:rsid w:val="5AD20459"/>
    <w:rsid w:val="5AF25B18"/>
    <w:rsid w:val="5B0E1A93"/>
    <w:rsid w:val="5B360761"/>
    <w:rsid w:val="5B966CB0"/>
    <w:rsid w:val="5B9C3750"/>
    <w:rsid w:val="5BAC0D1A"/>
    <w:rsid w:val="5BF021C1"/>
    <w:rsid w:val="5C12756B"/>
    <w:rsid w:val="5C1A5808"/>
    <w:rsid w:val="5C684337"/>
    <w:rsid w:val="5C6B7678"/>
    <w:rsid w:val="5C7452E3"/>
    <w:rsid w:val="5C745668"/>
    <w:rsid w:val="5C965E24"/>
    <w:rsid w:val="5CB22ABA"/>
    <w:rsid w:val="5CC6084B"/>
    <w:rsid w:val="5CCC4CBC"/>
    <w:rsid w:val="5D081CF6"/>
    <w:rsid w:val="5D24577B"/>
    <w:rsid w:val="5D79668A"/>
    <w:rsid w:val="5DD1158C"/>
    <w:rsid w:val="5E0D0F5F"/>
    <w:rsid w:val="5E4915C3"/>
    <w:rsid w:val="5E5D41E0"/>
    <w:rsid w:val="5E6448E9"/>
    <w:rsid w:val="5E773017"/>
    <w:rsid w:val="5EE63E42"/>
    <w:rsid w:val="5EEE1CC2"/>
    <w:rsid w:val="5EF52A66"/>
    <w:rsid w:val="5F091F73"/>
    <w:rsid w:val="5F1619C9"/>
    <w:rsid w:val="5F1A6ABC"/>
    <w:rsid w:val="5F263AF3"/>
    <w:rsid w:val="5F264A3C"/>
    <w:rsid w:val="5F44486F"/>
    <w:rsid w:val="5F504E61"/>
    <w:rsid w:val="5F555A5F"/>
    <w:rsid w:val="5F747E8A"/>
    <w:rsid w:val="5F7A4BB3"/>
    <w:rsid w:val="5F946D3A"/>
    <w:rsid w:val="5FAD4B10"/>
    <w:rsid w:val="5FCB52DE"/>
    <w:rsid w:val="5FEE4F4B"/>
    <w:rsid w:val="602B42AE"/>
    <w:rsid w:val="603E43EF"/>
    <w:rsid w:val="606049A2"/>
    <w:rsid w:val="6074652B"/>
    <w:rsid w:val="6082700E"/>
    <w:rsid w:val="60882EBB"/>
    <w:rsid w:val="609B0D62"/>
    <w:rsid w:val="60AA3E6F"/>
    <w:rsid w:val="60B2512F"/>
    <w:rsid w:val="61020502"/>
    <w:rsid w:val="610560C2"/>
    <w:rsid w:val="61295AA8"/>
    <w:rsid w:val="613227AA"/>
    <w:rsid w:val="61473ED3"/>
    <w:rsid w:val="6158677F"/>
    <w:rsid w:val="61656A7E"/>
    <w:rsid w:val="616E0726"/>
    <w:rsid w:val="61954E7D"/>
    <w:rsid w:val="61AC2C63"/>
    <w:rsid w:val="62007938"/>
    <w:rsid w:val="620E0D15"/>
    <w:rsid w:val="621722F5"/>
    <w:rsid w:val="622B7672"/>
    <w:rsid w:val="623A0E73"/>
    <w:rsid w:val="625946F5"/>
    <w:rsid w:val="625C5F33"/>
    <w:rsid w:val="626A38DC"/>
    <w:rsid w:val="627A007D"/>
    <w:rsid w:val="62A6730C"/>
    <w:rsid w:val="62AB757B"/>
    <w:rsid w:val="62BD47A8"/>
    <w:rsid w:val="62E657E8"/>
    <w:rsid w:val="62FA6EF8"/>
    <w:rsid w:val="63017B46"/>
    <w:rsid w:val="63097F36"/>
    <w:rsid w:val="63A027C7"/>
    <w:rsid w:val="63D34084"/>
    <w:rsid w:val="63E4683D"/>
    <w:rsid w:val="64014ECB"/>
    <w:rsid w:val="641A5713"/>
    <w:rsid w:val="641F7CC9"/>
    <w:rsid w:val="64827CD8"/>
    <w:rsid w:val="64902D88"/>
    <w:rsid w:val="64BA1641"/>
    <w:rsid w:val="64C82027"/>
    <w:rsid w:val="64D25ACF"/>
    <w:rsid w:val="64E81748"/>
    <w:rsid w:val="657603DF"/>
    <w:rsid w:val="65985DAA"/>
    <w:rsid w:val="65AF3D00"/>
    <w:rsid w:val="65B26614"/>
    <w:rsid w:val="65BA5ADF"/>
    <w:rsid w:val="65D17686"/>
    <w:rsid w:val="65DC4A1C"/>
    <w:rsid w:val="65F047B5"/>
    <w:rsid w:val="65F55292"/>
    <w:rsid w:val="660E0F6F"/>
    <w:rsid w:val="662C6EB7"/>
    <w:rsid w:val="6635628C"/>
    <w:rsid w:val="664E301C"/>
    <w:rsid w:val="66506DAE"/>
    <w:rsid w:val="66634583"/>
    <w:rsid w:val="66751CDB"/>
    <w:rsid w:val="669741A3"/>
    <w:rsid w:val="66B66970"/>
    <w:rsid w:val="66F3724E"/>
    <w:rsid w:val="66F67750"/>
    <w:rsid w:val="67023376"/>
    <w:rsid w:val="672B6396"/>
    <w:rsid w:val="674F7C54"/>
    <w:rsid w:val="67835543"/>
    <w:rsid w:val="67911A1C"/>
    <w:rsid w:val="6791707B"/>
    <w:rsid w:val="67976CB1"/>
    <w:rsid w:val="67C63408"/>
    <w:rsid w:val="68093C9A"/>
    <w:rsid w:val="683A3FD7"/>
    <w:rsid w:val="684F4FD3"/>
    <w:rsid w:val="687B5766"/>
    <w:rsid w:val="687C22A7"/>
    <w:rsid w:val="68833E6C"/>
    <w:rsid w:val="68983A45"/>
    <w:rsid w:val="68BB1C3A"/>
    <w:rsid w:val="68E34621"/>
    <w:rsid w:val="69071C1D"/>
    <w:rsid w:val="690773A2"/>
    <w:rsid w:val="69205F82"/>
    <w:rsid w:val="69217675"/>
    <w:rsid w:val="692D3EC2"/>
    <w:rsid w:val="694050FD"/>
    <w:rsid w:val="69632921"/>
    <w:rsid w:val="699833FF"/>
    <w:rsid w:val="6A11690C"/>
    <w:rsid w:val="6A16625B"/>
    <w:rsid w:val="6A2D338A"/>
    <w:rsid w:val="6A4975B9"/>
    <w:rsid w:val="6A4B5231"/>
    <w:rsid w:val="6A5E6E04"/>
    <w:rsid w:val="6A69354B"/>
    <w:rsid w:val="6A6F734D"/>
    <w:rsid w:val="6A9F07CB"/>
    <w:rsid w:val="6AAA758B"/>
    <w:rsid w:val="6AB77196"/>
    <w:rsid w:val="6AC42684"/>
    <w:rsid w:val="6ACB09AE"/>
    <w:rsid w:val="6AD95BB5"/>
    <w:rsid w:val="6B100DD2"/>
    <w:rsid w:val="6B176F9E"/>
    <w:rsid w:val="6B7B2AA5"/>
    <w:rsid w:val="6B7B7575"/>
    <w:rsid w:val="6B83414A"/>
    <w:rsid w:val="6B850C08"/>
    <w:rsid w:val="6B8C3FF7"/>
    <w:rsid w:val="6B8F553F"/>
    <w:rsid w:val="6B99520C"/>
    <w:rsid w:val="6BA519FE"/>
    <w:rsid w:val="6BB80419"/>
    <w:rsid w:val="6BDD4AFF"/>
    <w:rsid w:val="6C1A6B08"/>
    <w:rsid w:val="6C285F67"/>
    <w:rsid w:val="6C504A3A"/>
    <w:rsid w:val="6C5305CB"/>
    <w:rsid w:val="6C6068DE"/>
    <w:rsid w:val="6C816B77"/>
    <w:rsid w:val="6C9E5492"/>
    <w:rsid w:val="6CA42495"/>
    <w:rsid w:val="6CC4537A"/>
    <w:rsid w:val="6CE07F05"/>
    <w:rsid w:val="6D060C62"/>
    <w:rsid w:val="6D6467DB"/>
    <w:rsid w:val="6D7D48C1"/>
    <w:rsid w:val="6D7E0B5E"/>
    <w:rsid w:val="6D9621D3"/>
    <w:rsid w:val="6DA56695"/>
    <w:rsid w:val="6E022814"/>
    <w:rsid w:val="6E8E0D6C"/>
    <w:rsid w:val="6EF801FE"/>
    <w:rsid w:val="6F18138E"/>
    <w:rsid w:val="6F3760A6"/>
    <w:rsid w:val="6F481544"/>
    <w:rsid w:val="6F6B2B81"/>
    <w:rsid w:val="6F71559A"/>
    <w:rsid w:val="6F8035D2"/>
    <w:rsid w:val="6F882388"/>
    <w:rsid w:val="6F8F6092"/>
    <w:rsid w:val="6FA95BBC"/>
    <w:rsid w:val="6FB05554"/>
    <w:rsid w:val="6FF678BC"/>
    <w:rsid w:val="700B5AE1"/>
    <w:rsid w:val="70632747"/>
    <w:rsid w:val="70677DEE"/>
    <w:rsid w:val="707E1787"/>
    <w:rsid w:val="70A457DF"/>
    <w:rsid w:val="70AC1239"/>
    <w:rsid w:val="70B01514"/>
    <w:rsid w:val="70D953C2"/>
    <w:rsid w:val="70E13811"/>
    <w:rsid w:val="70EE7982"/>
    <w:rsid w:val="7106677A"/>
    <w:rsid w:val="71210D91"/>
    <w:rsid w:val="71262241"/>
    <w:rsid w:val="71A340CC"/>
    <w:rsid w:val="71A54321"/>
    <w:rsid w:val="71B019C8"/>
    <w:rsid w:val="71F46F44"/>
    <w:rsid w:val="72013C3E"/>
    <w:rsid w:val="72372B0E"/>
    <w:rsid w:val="72694C95"/>
    <w:rsid w:val="726E298D"/>
    <w:rsid w:val="727619EB"/>
    <w:rsid w:val="72802A0F"/>
    <w:rsid w:val="728D263E"/>
    <w:rsid w:val="72966311"/>
    <w:rsid w:val="72A11BA4"/>
    <w:rsid w:val="731A2270"/>
    <w:rsid w:val="73286FE6"/>
    <w:rsid w:val="737838E9"/>
    <w:rsid w:val="7393631E"/>
    <w:rsid w:val="739D4D93"/>
    <w:rsid w:val="73A70662"/>
    <w:rsid w:val="73F70B86"/>
    <w:rsid w:val="73FA3A46"/>
    <w:rsid w:val="743201D2"/>
    <w:rsid w:val="74690842"/>
    <w:rsid w:val="747A3654"/>
    <w:rsid w:val="747E329E"/>
    <w:rsid w:val="748B5845"/>
    <w:rsid w:val="74EB588B"/>
    <w:rsid w:val="74F61AD7"/>
    <w:rsid w:val="75070A50"/>
    <w:rsid w:val="75093A64"/>
    <w:rsid w:val="75201E08"/>
    <w:rsid w:val="75236ADD"/>
    <w:rsid w:val="754964F5"/>
    <w:rsid w:val="758A4106"/>
    <w:rsid w:val="75910CFD"/>
    <w:rsid w:val="75BC21F6"/>
    <w:rsid w:val="75BE338C"/>
    <w:rsid w:val="75BE6DCA"/>
    <w:rsid w:val="75F0779F"/>
    <w:rsid w:val="75FD1E1D"/>
    <w:rsid w:val="76255382"/>
    <w:rsid w:val="76652554"/>
    <w:rsid w:val="76D955F7"/>
    <w:rsid w:val="770858DF"/>
    <w:rsid w:val="770B7BC0"/>
    <w:rsid w:val="771515C8"/>
    <w:rsid w:val="772C5A7C"/>
    <w:rsid w:val="77304C77"/>
    <w:rsid w:val="774B7D02"/>
    <w:rsid w:val="7764126D"/>
    <w:rsid w:val="776C48BF"/>
    <w:rsid w:val="77716C78"/>
    <w:rsid w:val="779173BE"/>
    <w:rsid w:val="779B78ED"/>
    <w:rsid w:val="77D12130"/>
    <w:rsid w:val="77F10AC4"/>
    <w:rsid w:val="781F739E"/>
    <w:rsid w:val="782C38A5"/>
    <w:rsid w:val="785C0D38"/>
    <w:rsid w:val="78885DF7"/>
    <w:rsid w:val="78C67AE9"/>
    <w:rsid w:val="78CF423E"/>
    <w:rsid w:val="78EA52F9"/>
    <w:rsid w:val="792861AD"/>
    <w:rsid w:val="796721E3"/>
    <w:rsid w:val="79C453B0"/>
    <w:rsid w:val="79E81658"/>
    <w:rsid w:val="7A376EC0"/>
    <w:rsid w:val="7A4C6F3B"/>
    <w:rsid w:val="7A6C476C"/>
    <w:rsid w:val="7A823E21"/>
    <w:rsid w:val="7A9E210E"/>
    <w:rsid w:val="7AC726FE"/>
    <w:rsid w:val="7AFF0CA0"/>
    <w:rsid w:val="7B0F5781"/>
    <w:rsid w:val="7B1B2898"/>
    <w:rsid w:val="7B20112A"/>
    <w:rsid w:val="7B2A0730"/>
    <w:rsid w:val="7B4C593A"/>
    <w:rsid w:val="7B5F11FC"/>
    <w:rsid w:val="7B6C4B92"/>
    <w:rsid w:val="7B896622"/>
    <w:rsid w:val="7BC42B3D"/>
    <w:rsid w:val="7BE5609F"/>
    <w:rsid w:val="7C393BAF"/>
    <w:rsid w:val="7C3F39DF"/>
    <w:rsid w:val="7C7900A3"/>
    <w:rsid w:val="7C8C36C8"/>
    <w:rsid w:val="7C9B4ACF"/>
    <w:rsid w:val="7DA014C0"/>
    <w:rsid w:val="7E1D7A71"/>
    <w:rsid w:val="7E2176CD"/>
    <w:rsid w:val="7E276AFC"/>
    <w:rsid w:val="7E3B0EF3"/>
    <w:rsid w:val="7E6753B4"/>
    <w:rsid w:val="7E712DAE"/>
    <w:rsid w:val="7E9F19F4"/>
    <w:rsid w:val="7EAD6474"/>
    <w:rsid w:val="7F0549CA"/>
    <w:rsid w:val="7F140065"/>
    <w:rsid w:val="7F1A2F22"/>
    <w:rsid w:val="7F3040E9"/>
    <w:rsid w:val="7FB97696"/>
    <w:rsid w:val="7FC04646"/>
    <w:rsid w:val="7FD33D52"/>
    <w:rsid w:val="7FFA0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80" w:lineRule="exact"/>
      <w:ind w:firstLine="200" w:firstLineChars="200"/>
      <w:jc w:val="both"/>
    </w:pPr>
    <w:rPr>
      <w:rFonts w:ascii="Times New Roman" w:hAnsi="Times New Roman" w:eastAsia="宋体" w:cs="Times New Roman"/>
      <w:sz w:val="24"/>
      <w:szCs w:val="22"/>
      <w:lang w:val="en-US" w:eastAsia="en-US" w:bidi="ar-SA"/>
    </w:rPr>
  </w:style>
  <w:style w:type="paragraph" w:styleId="2">
    <w:name w:val="heading 1"/>
    <w:basedOn w:val="1"/>
    <w:next w:val="1"/>
    <w:link w:val="35"/>
    <w:autoRedefine/>
    <w:qFormat/>
    <w:uiPriority w:val="0"/>
    <w:pPr>
      <w:numPr>
        <w:ilvl w:val="0"/>
        <w:numId w:val="1"/>
      </w:numPr>
      <w:snapToGrid w:val="0"/>
      <w:spacing w:before="50" w:beforeLines="50" w:after="50" w:afterLines="50" w:line="440" w:lineRule="exact"/>
      <w:ind w:firstLineChars="0"/>
      <w:outlineLvl w:val="0"/>
    </w:pPr>
    <w:rPr>
      <w:rFonts w:ascii="Times New Roman" w:hAnsi="Times New Roman" w:eastAsia="黑体"/>
      <w:sz w:val="32"/>
      <w:szCs w:val="28"/>
    </w:rPr>
  </w:style>
  <w:style w:type="paragraph" w:styleId="3">
    <w:name w:val="heading 2"/>
    <w:basedOn w:val="1"/>
    <w:next w:val="1"/>
    <w:link w:val="36"/>
    <w:autoRedefine/>
    <w:qFormat/>
    <w:uiPriority w:val="0"/>
    <w:pPr>
      <w:keepNext/>
      <w:keepLines/>
      <w:numPr>
        <w:ilvl w:val="1"/>
        <w:numId w:val="1"/>
      </w:numPr>
      <w:snapToGrid w:val="0"/>
      <w:spacing w:before="50" w:beforeLines="50" w:after="50" w:afterLines="50" w:line="440" w:lineRule="exact"/>
      <w:ind w:left="0" w:firstLineChars="0"/>
      <w:outlineLvl w:val="1"/>
    </w:pPr>
    <w:rPr>
      <w:rFonts w:ascii="Times New Roman" w:hAnsi="Times New Roman" w:eastAsia="黑体"/>
      <w:sz w:val="30"/>
      <w:szCs w:val="32"/>
      <w:lang w:eastAsia="zh-CN"/>
    </w:rPr>
  </w:style>
  <w:style w:type="paragraph" w:styleId="4">
    <w:name w:val="heading 3"/>
    <w:basedOn w:val="1"/>
    <w:next w:val="1"/>
    <w:autoRedefine/>
    <w:qFormat/>
    <w:uiPriority w:val="0"/>
    <w:pPr>
      <w:numPr>
        <w:ilvl w:val="2"/>
        <w:numId w:val="1"/>
      </w:numPr>
      <w:tabs>
        <w:tab w:val="left" w:pos="440"/>
      </w:tabs>
      <w:snapToGrid w:val="0"/>
      <w:spacing w:before="50" w:beforeLines="50" w:after="50" w:afterLines="50" w:line="440" w:lineRule="exact"/>
      <w:ind w:firstLineChars="0"/>
      <w:outlineLvl w:val="2"/>
    </w:pPr>
    <w:rPr>
      <w:rFonts w:ascii="Times New Roman" w:hAnsi="Times New Roman" w:eastAsia="宋体"/>
      <w:sz w:val="28"/>
      <w:szCs w:val="24"/>
      <w:lang w:eastAsia="zh-CN"/>
    </w:rPr>
  </w:style>
  <w:style w:type="paragraph" w:styleId="5">
    <w:name w:val="heading 4"/>
    <w:basedOn w:val="1"/>
    <w:next w:val="1"/>
    <w:link w:val="37"/>
    <w:autoRedefine/>
    <w:qFormat/>
    <w:uiPriority w:val="0"/>
    <w:pPr>
      <w:keepNext/>
      <w:keepLines/>
      <w:spacing w:before="50" w:beforeLines="50" w:after="50" w:afterLines="50" w:line="240" w:lineRule="auto"/>
      <w:ind w:firstLine="0" w:firstLineChars="0"/>
      <w:outlineLvl w:val="3"/>
    </w:pPr>
    <w:rPr>
      <w:bCs/>
      <w:szCs w:val="28"/>
    </w:rPr>
  </w:style>
  <w:style w:type="character" w:default="1" w:styleId="29">
    <w:name w:val="Default Paragraph Font"/>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320"/>
    </w:pPr>
    <w:rPr>
      <w:rFonts w:ascii="Calibri" w:hAnsi="Calibri" w:cs="Calibri"/>
      <w:sz w:val="18"/>
      <w:szCs w:val="18"/>
    </w:rPr>
  </w:style>
  <w:style w:type="paragraph" w:styleId="7">
    <w:name w:val="Normal Indent"/>
    <w:basedOn w:val="1"/>
    <w:qFormat/>
    <w:uiPriority w:val="0"/>
    <w:pPr>
      <w:ind w:firstLine="420"/>
    </w:pPr>
    <w:rPr>
      <w:rFonts w:ascii="宋体" w:hAnsi="宋体" w:cs="宋体"/>
      <w:bCs/>
      <w:color w:val="000000"/>
      <w:kern w:val="2"/>
      <w:sz w:val="21"/>
      <w:szCs w:val="21"/>
      <w:lang w:eastAsia="zh-CN"/>
    </w:rPr>
  </w:style>
  <w:style w:type="paragraph" w:styleId="8">
    <w:name w:val="caption"/>
    <w:basedOn w:val="1"/>
    <w:next w:val="1"/>
    <w:autoRedefine/>
    <w:qFormat/>
    <w:uiPriority w:val="0"/>
    <w:pPr>
      <w:numPr>
        <w:ilvl w:val="3"/>
        <w:numId w:val="1"/>
      </w:numPr>
      <w:spacing w:line="240" w:lineRule="exact"/>
      <w:ind w:left="0" w:firstLineChars="0"/>
      <w:jc w:val="center"/>
    </w:pPr>
    <w:rPr>
      <w:rFonts w:eastAsia="黑体" w:cs="等线 Light"/>
      <w:kern w:val="2"/>
      <w:sz w:val="21"/>
      <w:szCs w:val="21"/>
      <w:lang w:eastAsia="zh-CN"/>
    </w:rPr>
  </w:style>
  <w:style w:type="paragraph" w:styleId="9">
    <w:name w:val="Document Map"/>
    <w:basedOn w:val="1"/>
    <w:autoRedefine/>
    <w:semiHidden/>
    <w:qFormat/>
    <w:uiPriority w:val="0"/>
    <w:pPr>
      <w:shd w:val="clear" w:color="auto" w:fill="000080"/>
    </w:pPr>
  </w:style>
  <w:style w:type="paragraph" w:styleId="10">
    <w:name w:val="annotation text"/>
    <w:basedOn w:val="1"/>
    <w:link w:val="59"/>
    <w:qFormat/>
    <w:uiPriority w:val="0"/>
  </w:style>
  <w:style w:type="paragraph" w:styleId="11">
    <w:name w:val="Body Text"/>
    <w:basedOn w:val="1"/>
    <w:link w:val="67"/>
    <w:qFormat/>
    <w:uiPriority w:val="0"/>
    <w:pPr>
      <w:ind w:left="117"/>
    </w:pPr>
    <w:rPr>
      <w:rFonts w:ascii="宋体" w:hAnsi="宋体"/>
      <w:sz w:val="21"/>
      <w:szCs w:val="21"/>
    </w:rPr>
  </w:style>
  <w:style w:type="paragraph" w:styleId="12">
    <w:name w:val="toc 5"/>
    <w:basedOn w:val="1"/>
    <w:next w:val="1"/>
    <w:autoRedefine/>
    <w:unhideWhenUsed/>
    <w:qFormat/>
    <w:uiPriority w:val="39"/>
    <w:pPr>
      <w:ind w:left="880"/>
    </w:pPr>
    <w:rPr>
      <w:rFonts w:ascii="Calibri" w:hAnsi="Calibri" w:cs="Calibri"/>
      <w:sz w:val="18"/>
      <w:szCs w:val="18"/>
    </w:rPr>
  </w:style>
  <w:style w:type="paragraph" w:styleId="13">
    <w:name w:val="toc 3"/>
    <w:basedOn w:val="1"/>
    <w:next w:val="1"/>
    <w:autoRedefine/>
    <w:unhideWhenUsed/>
    <w:qFormat/>
    <w:uiPriority w:val="39"/>
    <w:pPr>
      <w:ind w:left="440"/>
    </w:pPr>
    <w:rPr>
      <w:rFonts w:ascii="Calibri" w:hAnsi="Calibri" w:cs="Calibri"/>
      <w:i/>
      <w:iCs/>
      <w:sz w:val="20"/>
      <w:szCs w:val="20"/>
    </w:rPr>
  </w:style>
  <w:style w:type="paragraph" w:styleId="14">
    <w:name w:val="toc 8"/>
    <w:basedOn w:val="1"/>
    <w:next w:val="1"/>
    <w:autoRedefine/>
    <w:unhideWhenUsed/>
    <w:qFormat/>
    <w:uiPriority w:val="39"/>
    <w:pPr>
      <w:ind w:left="1540"/>
    </w:pPr>
    <w:rPr>
      <w:rFonts w:ascii="Calibri" w:hAnsi="Calibri" w:cs="Calibri"/>
      <w:sz w:val="18"/>
      <w:szCs w:val="18"/>
    </w:rPr>
  </w:style>
  <w:style w:type="paragraph" w:styleId="15">
    <w:name w:val="Date"/>
    <w:basedOn w:val="1"/>
    <w:next w:val="1"/>
    <w:link w:val="69"/>
    <w:qFormat/>
    <w:uiPriority w:val="0"/>
    <w:pPr>
      <w:ind w:left="100" w:leftChars="2500"/>
    </w:pPr>
  </w:style>
  <w:style w:type="paragraph" w:styleId="16">
    <w:name w:val="Balloon Text"/>
    <w:basedOn w:val="1"/>
    <w:link w:val="54"/>
    <w:autoRedefine/>
    <w:semiHidden/>
    <w:qFormat/>
    <w:uiPriority w:val="0"/>
    <w:rPr>
      <w:rFonts w:ascii="等线" w:hAnsi="等线" w:eastAsia="等线" w:cs="等线"/>
      <w:kern w:val="2"/>
      <w:sz w:val="18"/>
      <w:szCs w:val="18"/>
      <w:lang w:eastAsia="zh-CN"/>
    </w:rPr>
  </w:style>
  <w:style w:type="paragraph" w:styleId="17">
    <w:name w:val="footer"/>
    <w:basedOn w:val="1"/>
    <w:link w:val="55"/>
    <w:autoRedefine/>
    <w:qFormat/>
    <w:uiPriority w:val="99"/>
    <w:pPr>
      <w:tabs>
        <w:tab w:val="center" w:pos="4153"/>
        <w:tab w:val="right" w:pos="8306"/>
      </w:tabs>
      <w:snapToGrid w:val="0"/>
    </w:pPr>
    <w:rPr>
      <w:sz w:val="18"/>
      <w:szCs w:val="18"/>
    </w:rPr>
  </w:style>
  <w:style w:type="paragraph" w:styleId="18">
    <w:name w:val="header"/>
    <w:basedOn w:val="1"/>
    <w:link w:val="60"/>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pPr>
    <w:rPr>
      <w:rFonts w:ascii="Calibri" w:hAnsi="Calibri" w:cs="Calibri"/>
      <w:b/>
      <w:bCs/>
      <w:caps/>
      <w:sz w:val="20"/>
      <w:szCs w:val="20"/>
    </w:rPr>
  </w:style>
  <w:style w:type="paragraph" w:styleId="20">
    <w:name w:val="toc 4"/>
    <w:basedOn w:val="1"/>
    <w:next w:val="1"/>
    <w:unhideWhenUsed/>
    <w:qFormat/>
    <w:uiPriority w:val="39"/>
    <w:pPr>
      <w:ind w:left="660"/>
    </w:pPr>
    <w:rPr>
      <w:rFonts w:ascii="Calibri" w:hAnsi="Calibri" w:cs="Calibri"/>
      <w:sz w:val="18"/>
      <w:szCs w:val="18"/>
    </w:rPr>
  </w:style>
  <w:style w:type="paragraph" w:styleId="21">
    <w:name w:val="footnote text"/>
    <w:basedOn w:val="1"/>
    <w:link w:val="57"/>
    <w:autoRedefine/>
    <w:semiHidden/>
    <w:qFormat/>
    <w:uiPriority w:val="0"/>
    <w:pPr>
      <w:snapToGrid w:val="0"/>
    </w:pPr>
    <w:rPr>
      <w:rFonts w:ascii="等线" w:hAnsi="等线" w:eastAsia="等线" w:cs="等线"/>
      <w:kern w:val="2"/>
      <w:sz w:val="18"/>
      <w:szCs w:val="18"/>
      <w:lang w:eastAsia="zh-CN"/>
    </w:rPr>
  </w:style>
  <w:style w:type="paragraph" w:styleId="22">
    <w:name w:val="toc 6"/>
    <w:basedOn w:val="1"/>
    <w:next w:val="1"/>
    <w:autoRedefine/>
    <w:unhideWhenUsed/>
    <w:qFormat/>
    <w:uiPriority w:val="39"/>
    <w:pPr>
      <w:ind w:left="1100"/>
    </w:pPr>
    <w:rPr>
      <w:rFonts w:ascii="Calibri" w:hAnsi="Calibri" w:cs="Calibri"/>
      <w:sz w:val="18"/>
      <w:szCs w:val="18"/>
    </w:rPr>
  </w:style>
  <w:style w:type="paragraph" w:styleId="23">
    <w:name w:val="toc 2"/>
    <w:basedOn w:val="1"/>
    <w:next w:val="1"/>
    <w:autoRedefine/>
    <w:unhideWhenUsed/>
    <w:qFormat/>
    <w:uiPriority w:val="39"/>
    <w:pPr>
      <w:ind w:left="220"/>
    </w:pPr>
    <w:rPr>
      <w:rFonts w:ascii="Calibri" w:hAnsi="Calibri" w:cs="Calibri"/>
      <w:smallCaps/>
      <w:sz w:val="20"/>
      <w:szCs w:val="20"/>
    </w:rPr>
  </w:style>
  <w:style w:type="paragraph" w:styleId="24">
    <w:name w:val="toc 9"/>
    <w:basedOn w:val="1"/>
    <w:next w:val="1"/>
    <w:autoRedefine/>
    <w:unhideWhenUsed/>
    <w:qFormat/>
    <w:uiPriority w:val="39"/>
    <w:pPr>
      <w:ind w:left="1760"/>
    </w:pPr>
    <w:rPr>
      <w:rFonts w:ascii="Calibri" w:hAnsi="Calibri" w:cs="Calibri"/>
      <w:sz w:val="18"/>
      <w:szCs w:val="18"/>
    </w:rPr>
  </w:style>
  <w:style w:type="paragraph" w:styleId="25">
    <w:name w:val="Normal (Web)"/>
    <w:basedOn w:val="1"/>
    <w:autoRedefine/>
    <w:qFormat/>
    <w:uiPriority w:val="0"/>
    <w:rPr>
      <w:rFonts w:ascii="等线" w:hAnsi="等线" w:eastAsia="等线" w:cs="等线"/>
      <w:kern w:val="2"/>
      <w:szCs w:val="24"/>
      <w:lang w:eastAsia="zh-CN"/>
    </w:rPr>
  </w:style>
  <w:style w:type="paragraph" w:styleId="26">
    <w:name w:val="annotation subject"/>
    <w:basedOn w:val="10"/>
    <w:next w:val="10"/>
    <w:link w:val="62"/>
    <w:autoRedefine/>
    <w:qFormat/>
    <w:uiPriority w:val="0"/>
    <w:rPr>
      <w:b/>
      <w:bCs/>
    </w:rPr>
  </w:style>
  <w:style w:type="table" w:styleId="28">
    <w:name w:val="Table Grid"/>
    <w:basedOn w:val="27"/>
    <w:autoRedefine/>
    <w:qFormat/>
    <w:uiPriority w:val="39"/>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autoRedefine/>
    <w:qFormat/>
    <w:uiPriority w:val="0"/>
    <w:rPr>
      <w:b/>
    </w:rPr>
  </w:style>
  <w:style w:type="character" w:styleId="31">
    <w:name w:val="page number"/>
    <w:basedOn w:val="29"/>
    <w:autoRedefine/>
    <w:qFormat/>
    <w:uiPriority w:val="0"/>
  </w:style>
  <w:style w:type="character" w:styleId="32">
    <w:name w:val="FollowedHyperlink"/>
    <w:basedOn w:val="29"/>
    <w:semiHidden/>
    <w:unhideWhenUsed/>
    <w:qFormat/>
    <w:uiPriority w:val="0"/>
    <w:rPr>
      <w:color w:val="0000CC"/>
      <w:sz w:val="22"/>
      <w:szCs w:val="22"/>
      <w:u w:val="single"/>
    </w:rPr>
  </w:style>
  <w:style w:type="character" w:styleId="33">
    <w:name w:val="Hyperlink"/>
    <w:qFormat/>
    <w:uiPriority w:val="99"/>
    <w:rPr>
      <w:rFonts w:cs="Times New Roman"/>
      <w:color w:val="0563C1"/>
      <w:u w:val="single"/>
    </w:rPr>
  </w:style>
  <w:style w:type="character" w:styleId="34">
    <w:name w:val="annotation reference"/>
    <w:qFormat/>
    <w:uiPriority w:val="0"/>
    <w:rPr>
      <w:sz w:val="21"/>
      <w:szCs w:val="21"/>
    </w:rPr>
  </w:style>
  <w:style w:type="character" w:customStyle="1" w:styleId="35">
    <w:name w:val="标题 1 字符"/>
    <w:link w:val="2"/>
    <w:autoRedefine/>
    <w:qFormat/>
    <w:locked/>
    <w:uiPriority w:val="0"/>
    <w:rPr>
      <w:rFonts w:ascii="Times New Roman" w:hAnsi="Times New Roman" w:eastAsia="黑体"/>
      <w:sz w:val="32"/>
      <w:szCs w:val="28"/>
      <w:lang w:eastAsia="en-US"/>
    </w:rPr>
  </w:style>
  <w:style w:type="character" w:customStyle="1" w:styleId="36">
    <w:name w:val="标题 2 字符"/>
    <w:link w:val="3"/>
    <w:qFormat/>
    <w:uiPriority w:val="0"/>
    <w:rPr>
      <w:rFonts w:ascii="Times New Roman" w:hAnsi="Times New Roman" w:eastAsia="黑体"/>
      <w:sz w:val="30"/>
      <w:szCs w:val="32"/>
    </w:rPr>
  </w:style>
  <w:style w:type="character" w:customStyle="1" w:styleId="37">
    <w:name w:val="标题 4 字符"/>
    <w:link w:val="5"/>
    <w:qFormat/>
    <w:uiPriority w:val="0"/>
    <w:rPr>
      <w:bCs/>
      <w:sz w:val="24"/>
      <w:szCs w:val="28"/>
      <w:lang w:eastAsia="en-US"/>
    </w:rPr>
  </w:style>
  <w:style w:type="paragraph" w:customStyle="1" w:styleId="38">
    <w:name w:val="报告正文"/>
    <w:basedOn w:val="11"/>
    <w:link w:val="58"/>
    <w:autoRedefine/>
    <w:qFormat/>
    <w:uiPriority w:val="0"/>
    <w:pPr>
      <w:spacing w:line="360" w:lineRule="auto"/>
      <w:ind w:left="0"/>
    </w:pPr>
    <w:rPr>
      <w:rFonts w:ascii="Times New Roman" w:hAnsi="Times New Roman" w:eastAsia="等线"/>
      <w:sz w:val="24"/>
      <w:szCs w:val="24"/>
      <w:lang w:eastAsia="zh-CN"/>
    </w:rPr>
  </w:style>
  <w:style w:type="paragraph" w:customStyle="1" w:styleId="39">
    <w:name w:val="清华标题格式"/>
    <w:basedOn w:val="1"/>
    <w:link w:val="63"/>
    <w:qFormat/>
    <w:uiPriority w:val="0"/>
    <w:pPr>
      <w:keepNext/>
      <w:keepLines/>
      <w:spacing w:line="360" w:lineRule="auto"/>
      <w:outlineLvl w:val="0"/>
    </w:pPr>
    <w:rPr>
      <w:rFonts w:eastAsia="黑体"/>
      <w:b/>
      <w:bCs/>
      <w:kern w:val="44"/>
      <w:sz w:val="32"/>
      <w:szCs w:val="32"/>
      <w:lang w:eastAsia="zh-CN"/>
    </w:rPr>
  </w:style>
  <w:style w:type="paragraph" w:customStyle="1" w:styleId="40">
    <w:name w:val="图表明"/>
    <w:basedOn w:val="1"/>
    <w:next w:val="1"/>
    <w:link w:val="70"/>
    <w:qFormat/>
    <w:uiPriority w:val="0"/>
    <w:pPr>
      <w:spacing w:line="0" w:lineRule="atLeast"/>
      <w:ind w:firstLine="0" w:firstLineChars="0"/>
      <w:jc w:val="center"/>
    </w:pPr>
    <w:rPr>
      <w:rFonts w:eastAsia="黑体"/>
      <w:sz w:val="18"/>
      <w:szCs w:val="21"/>
      <w:lang w:eastAsia="zh-CN"/>
    </w:rPr>
  </w:style>
  <w:style w:type="paragraph" w:customStyle="1" w:styleId="41">
    <w:name w:val="c1"/>
    <w:basedOn w:val="1"/>
    <w:qFormat/>
    <w:uiPriority w:val="0"/>
    <w:pPr>
      <w:spacing w:line="440" w:lineRule="exact"/>
    </w:pPr>
    <w:rPr>
      <w:rFonts w:ascii="宋体" w:hAnsi="宋体"/>
      <w:kern w:val="2"/>
      <w:szCs w:val="24"/>
      <w:lang w:eastAsia="zh-CN"/>
    </w:rPr>
  </w:style>
  <w:style w:type="paragraph" w:customStyle="1" w:styleId="42">
    <w:name w:val="Table Paragraph"/>
    <w:basedOn w:val="1"/>
    <w:autoRedefine/>
    <w:qFormat/>
    <w:uiPriority w:val="1"/>
  </w:style>
  <w:style w:type="paragraph" w:customStyle="1" w:styleId="43">
    <w:name w:val="TOC 标题1"/>
    <w:basedOn w:val="2"/>
    <w:next w:val="1"/>
    <w:qFormat/>
    <w:uiPriority w:val="39"/>
    <w:pPr>
      <w:keepNext/>
      <w:keepLines/>
      <w:widowControl/>
      <w:spacing w:before="480" w:line="276" w:lineRule="auto"/>
      <w:outlineLvl w:val="9"/>
    </w:pPr>
    <w:rPr>
      <w:rFonts w:ascii="Calibri Light" w:hAnsi="Calibri Light" w:eastAsia="宋体"/>
      <w:b/>
      <w:bCs/>
      <w:color w:val="2E74B5"/>
      <w:lang w:eastAsia="zh-CN"/>
    </w:rPr>
  </w:style>
  <w:style w:type="paragraph" w:customStyle="1" w:styleId="44">
    <w:name w:val="段"/>
    <w:link w:val="7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45">
    <w:name w:val="编号正文缩进"/>
    <w:basedOn w:val="1"/>
    <w:qFormat/>
    <w:uiPriority w:val="0"/>
    <w:pPr>
      <w:numPr>
        <w:ilvl w:val="0"/>
        <w:numId w:val="2"/>
      </w:numPr>
    </w:pPr>
    <w:rPr>
      <w:kern w:val="2"/>
      <w:sz w:val="21"/>
      <w:szCs w:val="20"/>
      <w:lang w:eastAsia="zh-CN"/>
    </w:rPr>
  </w:style>
  <w:style w:type="paragraph" w:customStyle="1" w:styleId="46">
    <w:name w:val="List Paragraph1"/>
    <w:basedOn w:val="1"/>
    <w:qFormat/>
    <w:uiPriority w:val="99"/>
    <w:pPr>
      <w:ind w:firstLine="420"/>
    </w:pPr>
  </w:style>
  <w:style w:type="paragraph" w:customStyle="1" w:styleId="47">
    <w:name w:val="列出段落1"/>
    <w:basedOn w:val="1"/>
    <w:qFormat/>
    <w:uiPriority w:val="0"/>
    <w:pPr>
      <w:ind w:firstLine="420"/>
    </w:pPr>
    <w:rPr>
      <w:rFonts w:ascii="等线" w:hAnsi="等线" w:eastAsia="等线" w:cs="等线"/>
      <w:kern w:val="2"/>
      <w:sz w:val="21"/>
      <w:szCs w:val="21"/>
      <w:lang w:eastAsia="zh-CN"/>
    </w:rPr>
  </w:style>
  <w:style w:type="paragraph" w:customStyle="1" w:styleId="48">
    <w:name w:val="_Style 2"/>
    <w:basedOn w:val="1"/>
    <w:autoRedefine/>
    <w:qFormat/>
    <w:uiPriority w:val="34"/>
    <w:pPr>
      <w:ind w:firstLine="420"/>
    </w:pPr>
    <w:rPr>
      <w:szCs w:val="24"/>
    </w:rPr>
  </w:style>
  <w:style w:type="paragraph" w:customStyle="1" w:styleId="49">
    <w:name w:val="TOC Heading1"/>
    <w:basedOn w:val="2"/>
    <w:next w:val="1"/>
    <w:qFormat/>
    <w:uiPriority w:val="0"/>
    <w:pPr>
      <w:keepNext/>
      <w:keepLines/>
      <w:widowControl/>
      <w:spacing w:before="240" w:line="259" w:lineRule="auto"/>
      <w:outlineLvl w:val="9"/>
    </w:pPr>
    <w:rPr>
      <w:rFonts w:ascii="等线 Light" w:hAnsi="等线 Light" w:eastAsia="等线 Light" w:cs="等线 Light"/>
      <w:color w:val="2F5496"/>
      <w:sz w:val="32"/>
      <w:szCs w:val="32"/>
      <w:lang w:eastAsia="zh-CN"/>
    </w:rPr>
  </w:style>
  <w:style w:type="paragraph" w:customStyle="1" w:styleId="50">
    <w:name w:val="列出段落11"/>
    <w:basedOn w:val="1"/>
    <w:qFormat/>
    <w:uiPriority w:val="1"/>
    <w:rPr>
      <w:rFonts w:eastAsia="Calibri"/>
    </w:rPr>
  </w:style>
  <w:style w:type="paragraph" w:customStyle="1" w:styleId="51">
    <w:name w:val="表格"/>
    <w:basedOn w:val="1"/>
    <w:link w:val="71"/>
    <w:autoRedefine/>
    <w:qFormat/>
    <w:uiPriority w:val="0"/>
    <w:pPr>
      <w:ind w:firstLine="0" w:firstLineChars="0"/>
      <w:jc w:val="center"/>
    </w:pPr>
    <w:rPr>
      <w:rFonts w:eastAsia="黑体"/>
      <w:sz w:val="21"/>
      <w:lang w:eastAsia="zh-CN"/>
    </w:rPr>
  </w:style>
  <w:style w:type="paragraph" w:customStyle="1" w:styleId="52">
    <w:name w:val="图片"/>
    <w:basedOn w:val="1"/>
    <w:link w:val="72"/>
    <w:qFormat/>
    <w:uiPriority w:val="0"/>
    <w:pPr>
      <w:spacing w:line="240" w:lineRule="atLeast"/>
      <w:ind w:firstLine="0" w:firstLineChars="0"/>
      <w:jc w:val="center"/>
    </w:pPr>
    <w:rPr>
      <w:lang w:eastAsia="zh-CN"/>
    </w:rPr>
  </w:style>
  <w:style w:type="character" w:customStyle="1" w:styleId="53">
    <w:name w:val="font11"/>
    <w:qFormat/>
    <w:uiPriority w:val="0"/>
    <w:rPr>
      <w:rFonts w:ascii="宋体" w:hAnsi="宋体" w:eastAsia="宋体" w:cs="宋体"/>
      <w:color w:val="000000"/>
      <w:sz w:val="20"/>
      <w:szCs w:val="20"/>
      <w:u w:val="none"/>
    </w:rPr>
  </w:style>
  <w:style w:type="character" w:customStyle="1" w:styleId="54">
    <w:name w:val="批注框文本 字符"/>
    <w:link w:val="16"/>
    <w:semiHidden/>
    <w:qFormat/>
    <w:locked/>
    <w:uiPriority w:val="0"/>
    <w:rPr>
      <w:rFonts w:ascii="等线" w:hAnsi="等线" w:eastAsia="等线" w:cs="等线"/>
      <w:kern w:val="2"/>
      <w:sz w:val="18"/>
      <w:szCs w:val="18"/>
      <w:lang w:val="en-US" w:eastAsia="zh-CN" w:bidi="ar-SA"/>
    </w:rPr>
  </w:style>
  <w:style w:type="character" w:customStyle="1" w:styleId="55">
    <w:name w:val="页脚 字符"/>
    <w:link w:val="17"/>
    <w:autoRedefine/>
    <w:qFormat/>
    <w:uiPriority w:val="99"/>
    <w:rPr>
      <w:rFonts w:ascii="Calibri" w:hAnsi="Calibri"/>
      <w:sz w:val="18"/>
      <w:szCs w:val="18"/>
      <w:lang w:eastAsia="en-US"/>
    </w:rPr>
  </w:style>
  <w:style w:type="character" w:customStyle="1" w:styleId="56">
    <w:name w:val="样式 黑体 小四"/>
    <w:qFormat/>
    <w:uiPriority w:val="0"/>
    <w:rPr>
      <w:rFonts w:ascii="黑体" w:eastAsia="黑体"/>
      <w:sz w:val="24"/>
    </w:rPr>
  </w:style>
  <w:style w:type="character" w:customStyle="1" w:styleId="57">
    <w:name w:val="脚注文本 字符"/>
    <w:link w:val="21"/>
    <w:semiHidden/>
    <w:qFormat/>
    <w:locked/>
    <w:uiPriority w:val="0"/>
    <w:rPr>
      <w:rFonts w:ascii="等线" w:hAnsi="等线" w:eastAsia="等线" w:cs="等线"/>
      <w:kern w:val="2"/>
      <w:sz w:val="18"/>
      <w:szCs w:val="18"/>
      <w:lang w:val="en-US" w:eastAsia="zh-CN" w:bidi="ar-SA"/>
    </w:rPr>
  </w:style>
  <w:style w:type="character" w:customStyle="1" w:styleId="58">
    <w:name w:val="报告正文 Char"/>
    <w:link w:val="38"/>
    <w:autoRedefine/>
    <w:qFormat/>
    <w:locked/>
    <w:uiPriority w:val="0"/>
    <w:rPr>
      <w:rFonts w:eastAsia="等线"/>
      <w:sz w:val="24"/>
      <w:szCs w:val="24"/>
      <w:lang w:val="en-US" w:eastAsia="zh-CN" w:bidi="ar-SA"/>
    </w:rPr>
  </w:style>
  <w:style w:type="character" w:customStyle="1" w:styleId="59">
    <w:name w:val="批注文字 字符"/>
    <w:link w:val="10"/>
    <w:qFormat/>
    <w:uiPriority w:val="0"/>
    <w:rPr>
      <w:rFonts w:ascii="Calibri" w:hAnsi="Calibri"/>
      <w:sz w:val="22"/>
      <w:szCs w:val="22"/>
      <w:lang w:eastAsia="en-US"/>
    </w:rPr>
  </w:style>
  <w:style w:type="character" w:customStyle="1" w:styleId="60">
    <w:name w:val="页眉 字符"/>
    <w:link w:val="18"/>
    <w:autoRedefine/>
    <w:qFormat/>
    <w:uiPriority w:val="99"/>
    <w:rPr>
      <w:rFonts w:ascii="Calibri" w:hAnsi="Calibri"/>
      <w:sz w:val="18"/>
      <w:szCs w:val="18"/>
      <w:lang w:eastAsia="en-US"/>
    </w:rPr>
  </w:style>
  <w:style w:type="character" w:customStyle="1" w:styleId="61">
    <w:name w:val="Footer Char"/>
    <w:autoRedefine/>
    <w:qFormat/>
    <w:locked/>
    <w:uiPriority w:val="0"/>
    <w:rPr>
      <w:rFonts w:ascii="等线" w:hAnsi="等线" w:eastAsia="等线" w:cs="等线"/>
      <w:kern w:val="2"/>
      <w:sz w:val="18"/>
      <w:szCs w:val="18"/>
      <w:lang w:val="en-US" w:eastAsia="zh-CN" w:bidi="ar-SA"/>
    </w:rPr>
  </w:style>
  <w:style w:type="character" w:customStyle="1" w:styleId="62">
    <w:name w:val="批注主题 字符"/>
    <w:link w:val="26"/>
    <w:autoRedefine/>
    <w:qFormat/>
    <w:uiPriority w:val="0"/>
    <w:rPr>
      <w:rFonts w:ascii="Calibri" w:hAnsi="Calibri"/>
      <w:b/>
      <w:bCs/>
      <w:sz w:val="22"/>
      <w:szCs w:val="22"/>
      <w:lang w:eastAsia="en-US"/>
    </w:rPr>
  </w:style>
  <w:style w:type="character" w:customStyle="1" w:styleId="63">
    <w:name w:val="清华标题格式 Char"/>
    <w:link w:val="39"/>
    <w:autoRedefine/>
    <w:qFormat/>
    <w:locked/>
    <w:uiPriority w:val="0"/>
    <w:rPr>
      <w:rFonts w:eastAsia="黑体"/>
      <w:b/>
      <w:bCs/>
      <w:kern w:val="44"/>
      <w:sz w:val="32"/>
      <w:szCs w:val="32"/>
      <w:lang w:val="en-US" w:eastAsia="zh-CN" w:bidi="ar-SA"/>
    </w:rPr>
  </w:style>
  <w:style w:type="character" w:customStyle="1" w:styleId="64">
    <w:name w:val="页脚 字符1"/>
    <w:autoRedefine/>
    <w:qFormat/>
    <w:uiPriority w:val="99"/>
    <w:rPr>
      <w:sz w:val="18"/>
      <w:szCs w:val="18"/>
    </w:rPr>
  </w:style>
  <w:style w:type="character" w:customStyle="1" w:styleId="65">
    <w:name w:val="Header Char"/>
    <w:autoRedefine/>
    <w:qFormat/>
    <w:locked/>
    <w:uiPriority w:val="0"/>
    <w:rPr>
      <w:rFonts w:ascii="等线" w:hAnsi="等线" w:eastAsia="等线" w:cs="等线"/>
      <w:kern w:val="2"/>
      <w:sz w:val="18"/>
      <w:szCs w:val="18"/>
      <w:lang w:val="en-US" w:eastAsia="zh-CN" w:bidi="ar-SA"/>
    </w:rPr>
  </w:style>
  <w:style w:type="character" w:customStyle="1" w:styleId="66">
    <w:name w:val="font01"/>
    <w:autoRedefine/>
    <w:qFormat/>
    <w:uiPriority w:val="0"/>
    <w:rPr>
      <w:rFonts w:ascii="Arial" w:hAnsi="Arial" w:cs="Arial"/>
      <w:color w:val="000000"/>
      <w:sz w:val="20"/>
      <w:szCs w:val="20"/>
      <w:u w:val="none"/>
    </w:rPr>
  </w:style>
  <w:style w:type="character" w:customStyle="1" w:styleId="67">
    <w:name w:val="正文文本 字符"/>
    <w:link w:val="11"/>
    <w:autoRedefine/>
    <w:semiHidden/>
    <w:qFormat/>
    <w:locked/>
    <w:uiPriority w:val="0"/>
    <w:rPr>
      <w:rFonts w:ascii="宋体" w:hAnsi="宋体" w:eastAsia="宋体"/>
      <w:sz w:val="21"/>
      <w:szCs w:val="21"/>
      <w:lang w:val="en-US" w:eastAsia="en-US" w:bidi="ar-SA"/>
    </w:rPr>
  </w:style>
  <w:style w:type="character" w:customStyle="1" w:styleId="68">
    <w:name w:val="批注文字 字符2"/>
    <w:basedOn w:val="29"/>
    <w:autoRedefine/>
    <w:qFormat/>
    <w:uiPriority w:val="0"/>
  </w:style>
  <w:style w:type="character" w:customStyle="1" w:styleId="69">
    <w:name w:val="日期 字符"/>
    <w:link w:val="15"/>
    <w:autoRedefine/>
    <w:qFormat/>
    <w:uiPriority w:val="0"/>
    <w:rPr>
      <w:rFonts w:ascii="Calibri" w:hAnsi="Calibri"/>
      <w:sz w:val="22"/>
      <w:szCs w:val="22"/>
      <w:lang w:eastAsia="en-US"/>
    </w:rPr>
  </w:style>
  <w:style w:type="character" w:customStyle="1" w:styleId="70">
    <w:name w:val="图表明 Char"/>
    <w:link w:val="40"/>
    <w:autoRedefine/>
    <w:qFormat/>
    <w:locked/>
    <w:uiPriority w:val="0"/>
    <w:rPr>
      <w:rFonts w:eastAsia="黑体"/>
      <w:sz w:val="18"/>
      <w:szCs w:val="21"/>
    </w:rPr>
  </w:style>
  <w:style w:type="character" w:customStyle="1" w:styleId="71">
    <w:name w:val="表格 字符"/>
    <w:link w:val="51"/>
    <w:autoRedefine/>
    <w:qFormat/>
    <w:uiPriority w:val="0"/>
    <w:rPr>
      <w:rFonts w:eastAsia="黑体"/>
      <w:sz w:val="21"/>
      <w:szCs w:val="22"/>
    </w:rPr>
  </w:style>
  <w:style w:type="character" w:customStyle="1" w:styleId="72">
    <w:name w:val="图片 字符"/>
    <w:link w:val="52"/>
    <w:autoRedefine/>
    <w:qFormat/>
    <w:uiPriority w:val="0"/>
    <w:rPr>
      <w:sz w:val="24"/>
      <w:szCs w:val="22"/>
      <w:lang w:val="en-US" w:eastAsia="zh-CN"/>
    </w:rPr>
  </w:style>
  <w:style w:type="character" w:customStyle="1" w:styleId="73">
    <w:name w:val="段 Char"/>
    <w:link w:val="44"/>
    <w:autoRedefine/>
    <w:qFormat/>
    <w:uiPriority w:val="0"/>
    <w:rPr>
      <w:rFonts w:ascii="宋体"/>
      <w:sz w:val="21"/>
      <w:szCs w:val="22"/>
    </w:rPr>
  </w:style>
  <w:style w:type="table" w:customStyle="1" w:styleId="74">
    <w:name w:val="网格型1"/>
    <w:basedOn w:val="2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
    <w:name w:val="网格型2"/>
    <w:basedOn w:val="2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
    <w:name w:val="Table Normal"/>
    <w:autoRedefine/>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77">
    <w:name w:val="一级条标题"/>
    <w:next w:val="44"/>
    <w:autoRedefine/>
    <w:qFormat/>
    <w:uiPriority w:val="99"/>
    <w:pPr>
      <w:numPr>
        <w:ilvl w:val="1"/>
        <w:numId w:val="3"/>
      </w:numPr>
      <w:spacing w:beforeLines="50" w:afterLines="50"/>
      <w:ind w:left="568"/>
      <w:outlineLvl w:val="2"/>
    </w:pPr>
    <w:rPr>
      <w:rFonts w:ascii="黑体" w:hAnsi="Times New Roman" w:eastAsia="黑体" w:cs="Times New Roman"/>
      <w:sz w:val="21"/>
      <w:szCs w:val="21"/>
      <w:lang w:val="en-US" w:eastAsia="zh-CN" w:bidi="ar-SA"/>
    </w:rPr>
  </w:style>
  <w:style w:type="character" w:customStyle="1" w:styleId="78">
    <w:name w:val="章标题 Char"/>
    <w:link w:val="79"/>
    <w:autoRedefine/>
    <w:qFormat/>
    <w:locked/>
    <w:uiPriority w:val="99"/>
    <w:rPr>
      <w:rFonts w:ascii="黑体" w:hAnsi="黑体" w:eastAsia="黑体"/>
      <w:sz w:val="21"/>
    </w:rPr>
  </w:style>
  <w:style w:type="paragraph" w:customStyle="1" w:styleId="79">
    <w:name w:val="章标题"/>
    <w:next w:val="44"/>
    <w:link w:val="78"/>
    <w:autoRedefine/>
    <w:qFormat/>
    <w:uiPriority w:val="99"/>
    <w:pPr>
      <w:numPr>
        <w:ilvl w:val="0"/>
        <w:numId w:val="3"/>
      </w:numPr>
      <w:spacing w:beforeLines="100" w:afterLines="100"/>
      <w:jc w:val="both"/>
      <w:outlineLvl w:val="1"/>
    </w:pPr>
    <w:rPr>
      <w:rFonts w:ascii="黑体" w:hAnsi="黑体" w:eastAsia="黑体" w:cs="Times New Roman"/>
      <w:sz w:val="21"/>
      <w:lang w:val="en-US" w:eastAsia="zh-CN" w:bidi="ar-SA"/>
    </w:rPr>
  </w:style>
  <w:style w:type="paragraph" w:customStyle="1" w:styleId="80">
    <w:name w:val="二级条标题"/>
    <w:basedOn w:val="77"/>
    <w:next w:val="44"/>
    <w:autoRedefine/>
    <w:qFormat/>
    <w:uiPriority w:val="99"/>
    <w:pPr>
      <w:numPr>
        <w:ilvl w:val="2"/>
      </w:numPr>
      <w:ind w:left="2552"/>
      <w:outlineLvl w:val="3"/>
    </w:pPr>
  </w:style>
  <w:style w:type="paragraph" w:customStyle="1" w:styleId="81">
    <w:name w:val="四级条标题"/>
    <w:basedOn w:val="1"/>
    <w:next w:val="44"/>
    <w:autoRedefine/>
    <w:qFormat/>
    <w:uiPriority w:val="99"/>
    <w:pPr>
      <w:widowControl/>
      <w:numPr>
        <w:ilvl w:val="4"/>
        <w:numId w:val="3"/>
      </w:numPr>
      <w:spacing w:beforeLines="50" w:afterLines="50" w:line="240" w:lineRule="auto"/>
      <w:ind w:firstLineChars="0"/>
      <w:jc w:val="left"/>
      <w:outlineLvl w:val="5"/>
    </w:pPr>
    <w:rPr>
      <w:rFonts w:ascii="黑体" w:eastAsia="黑体"/>
      <w:sz w:val="21"/>
      <w:szCs w:val="21"/>
      <w:lang w:eastAsia="zh-CN"/>
    </w:rPr>
  </w:style>
  <w:style w:type="paragraph" w:customStyle="1" w:styleId="82">
    <w:name w:val="五级条标题"/>
    <w:basedOn w:val="81"/>
    <w:next w:val="44"/>
    <w:autoRedefine/>
    <w:qFormat/>
    <w:uiPriority w:val="99"/>
    <w:pPr>
      <w:numPr>
        <w:ilvl w:val="5"/>
      </w:numPr>
      <w:outlineLvl w:val="6"/>
    </w:pPr>
  </w:style>
  <w:style w:type="paragraph" w:customStyle="1" w:styleId="83">
    <w:name w:val="正文表标题"/>
    <w:next w:val="44"/>
    <w:autoRedefine/>
    <w:qFormat/>
    <w:uiPriority w:val="99"/>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84">
    <w:name w:val="正文000"/>
    <w:basedOn w:val="1"/>
    <w:autoRedefine/>
    <w:qFormat/>
    <w:uiPriority w:val="0"/>
    <w:pPr>
      <w:widowControl/>
      <w:spacing w:line="360" w:lineRule="auto"/>
      <w:ind w:firstLine="480"/>
      <w:jc w:val="left"/>
    </w:pPr>
    <w:rPr>
      <w:rFonts w:ascii="等线" w:hAnsi="等线" w:eastAsia="等线" w:cs="宋体"/>
      <w:szCs w:val="20"/>
      <w:lang w:bidi="en-US"/>
    </w:rPr>
  </w:style>
  <w:style w:type="paragraph" w:customStyle="1" w:styleId="85">
    <w:name w:val="style2"/>
    <w:basedOn w:val="1"/>
    <w:autoRedefine/>
    <w:qFormat/>
    <w:uiPriority w:val="0"/>
    <w:pPr>
      <w:jc w:val="left"/>
    </w:pPr>
    <w:rPr>
      <w:b/>
      <w:sz w:val="36"/>
      <w:szCs w:val="36"/>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143A8-4F87-4ACE-B55C-98A2A423CAC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8473</Words>
  <Characters>8891</Characters>
  <Lines>173</Lines>
  <Paragraphs>48</Paragraphs>
  <TotalTime>1</TotalTime>
  <ScaleCrop>false</ScaleCrop>
  <LinksUpToDate>false</LinksUpToDate>
  <CharactersWithSpaces>8958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2020-11-09T08:15:00Z</dcterms:created>
  <dc:creator>微软用户</dc:creator>
  <cp:lastModifiedBy>陈星曈</cp:lastModifiedBy>
  <cp:lastPrinted>2021-06-07T06:41:00Z</cp:lastPrinted>
  <dcterms:modified xsi:type="dcterms:W3CDTF">2025-07-23T07:23:12Z</dcterms:modified>
  <dc:title>6</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369D0C16B1224D8E86C64C09FF65B1B6_13</vt:lpwstr>
  </property>
  <property fmtid="{D5CDD505-2E9C-101B-9397-08002B2CF9AE}" pid="4" name="KSOTemplateDocerSaveRecord">
    <vt:lpwstr>eyJoZGlkIjoiNzhiMjFhNjIyYzE0ZWNjMWI5NjJlODEyYTM4NmRiY2EiLCJ1c2VySWQiOiIxMjEzNjU0MDg4In0=</vt:lpwstr>
  </property>
</Properties>
</file>